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CFD2" w14:textId="77777777" w:rsidR="00561279" w:rsidRPr="004065F8" w:rsidRDefault="00561279" w:rsidP="00561279">
      <w:pPr>
        <w:pStyle w:val="Section"/>
        <w:outlineLvl w:val="0"/>
      </w:pPr>
      <w:bookmarkStart w:id="0" w:name="_Toc431547957"/>
      <w:bookmarkStart w:id="1" w:name="_Toc338668524"/>
      <w:r w:rsidRPr="004065F8">
        <w:t>ITEM 624</w:t>
      </w:r>
      <w:r>
        <w:t xml:space="preserve"> </w:t>
      </w:r>
      <w:r w:rsidRPr="004065F8">
        <w:t>MOBILIZATION</w:t>
      </w:r>
      <w:bookmarkEnd w:id="0"/>
      <w:bookmarkEnd w:id="1"/>
    </w:p>
    <w:p w14:paraId="12378E59" w14:textId="77777777" w:rsidR="00561279" w:rsidRPr="004065F8" w:rsidRDefault="00561279" w:rsidP="00561279">
      <w:pPr>
        <w:pStyle w:val="SubsectionParagraphList"/>
      </w:pPr>
      <w:r w:rsidRPr="004065F8">
        <w:t>624.01</w:t>
      </w:r>
      <w:r w:rsidRPr="004065F8">
        <w:tab/>
        <w:t>Description</w:t>
      </w:r>
    </w:p>
    <w:p w14:paraId="785CA4E6" w14:textId="77777777" w:rsidR="00561279" w:rsidRPr="004065F8" w:rsidRDefault="00561279" w:rsidP="00561279">
      <w:pPr>
        <w:pStyle w:val="SubsectionParagraphList"/>
      </w:pPr>
      <w:r w:rsidRPr="004065F8">
        <w:t>624.02</w:t>
      </w:r>
      <w:r w:rsidRPr="004065F8">
        <w:tab/>
        <w:t>Limitation</w:t>
      </w:r>
    </w:p>
    <w:p w14:paraId="152F1114" w14:textId="77777777" w:rsidR="00561279" w:rsidRPr="004065F8" w:rsidRDefault="00561279" w:rsidP="00561279">
      <w:pPr>
        <w:pStyle w:val="SubsectionParagraphList"/>
      </w:pPr>
      <w:r w:rsidRPr="004065F8">
        <w:t>624.03</w:t>
      </w:r>
      <w:r w:rsidRPr="004065F8">
        <w:tab/>
        <w:t>Method of Measurement</w:t>
      </w:r>
    </w:p>
    <w:p w14:paraId="49AEFA1E" w14:textId="77777777" w:rsidR="00561279" w:rsidRPr="004065F8" w:rsidRDefault="00561279" w:rsidP="00561279">
      <w:pPr>
        <w:pStyle w:val="SubsectionParagraphList"/>
      </w:pPr>
      <w:r w:rsidRPr="004065F8">
        <w:t>624.04</w:t>
      </w:r>
      <w:r w:rsidRPr="004065F8">
        <w:tab/>
        <w:t>Basis of Payment</w:t>
      </w:r>
    </w:p>
    <w:p w14:paraId="58BE202C" w14:textId="77777777" w:rsidR="00561279" w:rsidRPr="004065F8" w:rsidRDefault="00561279" w:rsidP="00561279">
      <w:pPr>
        <w:pStyle w:val="BlankLine"/>
      </w:pPr>
    </w:p>
    <w:p w14:paraId="10E51892" w14:textId="77777777" w:rsidR="00561279" w:rsidRPr="004065F8" w:rsidRDefault="00561279" w:rsidP="00561279">
      <w:pPr>
        <w:pStyle w:val="SubsectionParagraph"/>
      </w:pPr>
      <w:r w:rsidRPr="004065F8">
        <w:rPr>
          <w:rStyle w:val="SubsectionTitle"/>
        </w:rPr>
        <w:t>624.01</w:t>
      </w:r>
      <w:r w:rsidRPr="004065F8">
        <w:rPr>
          <w:rStyle w:val="SubsectionTitle"/>
        </w:rPr>
        <w:tab/>
        <w:t>Description.</w:t>
      </w:r>
      <w:r>
        <w:t xml:space="preserve"> </w:t>
      </w:r>
      <w:r w:rsidRPr="004065F8">
        <w:t>This work consists of the preparatory work and operations including, but not limited to, those necessary for the movement of personnel, equipment, supplies, and incidentals to the project site; for the establishment of all field offices, buildings, and other facilities necessary for work on the project; for all other work and operations that must be performed or costs incurred before beginning the Work on the other contract items; and for demobilization.</w:t>
      </w:r>
    </w:p>
    <w:p w14:paraId="3FEC51AF" w14:textId="77777777" w:rsidR="00561279" w:rsidRPr="004065F8" w:rsidRDefault="00561279" w:rsidP="00561279">
      <w:pPr>
        <w:pStyle w:val="SubsectionParagraph"/>
      </w:pPr>
      <w:r w:rsidRPr="004065F8">
        <w:t>If Mobilization is not included as a pay item in the Contract, the Department will not pay for this work separately but will consider it incidental to the other Contract Items.</w:t>
      </w:r>
    </w:p>
    <w:p w14:paraId="68068CB3" w14:textId="77777777" w:rsidR="00561279" w:rsidRPr="004065F8" w:rsidRDefault="00561279" w:rsidP="00561279">
      <w:pPr>
        <w:pStyle w:val="SubsectionParagraph"/>
      </w:pPr>
      <w:r w:rsidRPr="004065F8">
        <w:rPr>
          <w:rStyle w:val="SubsectionTitle"/>
        </w:rPr>
        <w:t>624.02</w:t>
      </w:r>
      <w:r w:rsidRPr="004065F8">
        <w:rPr>
          <w:rStyle w:val="SubsectionTitle"/>
        </w:rPr>
        <w:tab/>
        <w:t>Limitation.</w:t>
      </w:r>
      <w:r>
        <w:t xml:space="preserve"> </w:t>
      </w:r>
      <w:r w:rsidRPr="004065F8">
        <w:t>The Department will limit the sum of the partial payments specified in 624.04.A and 624.04.B to the amounts shown in Table 624.02-1 under “Maximum Total of Partial Payments”.</w:t>
      </w:r>
      <w:r>
        <w:t xml:space="preserve"> </w:t>
      </w:r>
      <w:r w:rsidRPr="004065F8">
        <w:t>The Department will pay the balance of the lump sum amount bid, as specified in 624.04.C.</w:t>
      </w:r>
    </w:p>
    <w:p w14:paraId="5E509EF8" w14:textId="77777777" w:rsidR="00561279" w:rsidRPr="004065F8" w:rsidRDefault="00561279" w:rsidP="00561279">
      <w:pPr>
        <w:pStyle w:val="TableTitles"/>
      </w:pPr>
      <w:r w:rsidRPr="004065F8">
        <w:lastRenderedPageBreak/>
        <w:t>Table 624.02-1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1075"/>
        <w:gridCol w:w="1116"/>
        <w:gridCol w:w="2206"/>
      </w:tblGrid>
      <w:tr w:rsidR="00561279" w:rsidRPr="004065F8" w14:paraId="053D8BCC" w14:textId="77777777" w:rsidTr="00536108">
        <w:trPr>
          <w:cantSplit/>
          <w:jc w:val="center"/>
        </w:trPr>
        <w:tc>
          <w:tcPr>
            <w:tcW w:w="2191" w:type="dxa"/>
            <w:gridSpan w:val="2"/>
            <w:vAlign w:val="bottom"/>
          </w:tcPr>
          <w:p w14:paraId="55EF782B" w14:textId="77777777" w:rsidR="00561279" w:rsidRPr="004065F8" w:rsidRDefault="00561279" w:rsidP="00536108">
            <w:pPr>
              <w:pStyle w:val="TableText"/>
              <w:jc w:val="center"/>
              <w:rPr>
                <w:b/>
              </w:rPr>
            </w:pPr>
            <w:r w:rsidRPr="004065F8">
              <w:rPr>
                <w:b/>
              </w:rPr>
              <w:t>Total Contract Amount</w:t>
            </w:r>
          </w:p>
        </w:tc>
        <w:tc>
          <w:tcPr>
            <w:tcW w:w="2206" w:type="dxa"/>
            <w:vMerge w:val="restart"/>
            <w:vAlign w:val="bottom"/>
          </w:tcPr>
          <w:p w14:paraId="5EE1EEEC" w14:textId="77777777" w:rsidR="00561279" w:rsidRPr="004065F8" w:rsidRDefault="00561279" w:rsidP="00536108">
            <w:pPr>
              <w:pStyle w:val="TableText"/>
              <w:jc w:val="center"/>
              <w:rPr>
                <w:b/>
              </w:rPr>
            </w:pPr>
            <w:r w:rsidRPr="004065F8">
              <w:rPr>
                <w:b/>
              </w:rPr>
              <w:t>Maximum Total of Partial</w:t>
            </w:r>
          </w:p>
          <w:p w14:paraId="1C97C3C1" w14:textId="77777777" w:rsidR="00561279" w:rsidRPr="004065F8" w:rsidRDefault="00561279" w:rsidP="00536108">
            <w:pPr>
              <w:pStyle w:val="TableText"/>
              <w:jc w:val="center"/>
              <w:rPr>
                <w:b/>
              </w:rPr>
            </w:pPr>
            <w:r w:rsidRPr="004065F8">
              <w:rPr>
                <w:b/>
              </w:rPr>
              <w:t>Payments</w:t>
            </w:r>
          </w:p>
        </w:tc>
      </w:tr>
      <w:tr w:rsidR="00561279" w:rsidRPr="004065F8" w14:paraId="3C66F667" w14:textId="77777777" w:rsidTr="0089567F">
        <w:trPr>
          <w:cantSplit/>
          <w:jc w:val="center"/>
        </w:trPr>
        <w:tc>
          <w:tcPr>
            <w:tcW w:w="1075" w:type="dxa"/>
            <w:vAlign w:val="bottom"/>
          </w:tcPr>
          <w:p w14:paraId="2528CBEE" w14:textId="77777777" w:rsidR="00561279" w:rsidRPr="004065F8" w:rsidRDefault="00561279" w:rsidP="00536108">
            <w:pPr>
              <w:pStyle w:val="TableText"/>
              <w:jc w:val="center"/>
              <w:rPr>
                <w:b/>
              </w:rPr>
            </w:pPr>
            <w:r w:rsidRPr="004065F8">
              <w:rPr>
                <w:b/>
              </w:rPr>
              <w:t>More than</w:t>
            </w:r>
          </w:p>
        </w:tc>
        <w:tc>
          <w:tcPr>
            <w:tcW w:w="1116" w:type="dxa"/>
            <w:vAlign w:val="bottom"/>
          </w:tcPr>
          <w:p w14:paraId="2924337E" w14:textId="77777777" w:rsidR="00561279" w:rsidRPr="004065F8" w:rsidRDefault="00561279" w:rsidP="00536108">
            <w:pPr>
              <w:pStyle w:val="TableText"/>
              <w:jc w:val="center"/>
              <w:rPr>
                <w:b/>
              </w:rPr>
            </w:pPr>
            <w:r w:rsidRPr="004065F8">
              <w:rPr>
                <w:b/>
              </w:rPr>
              <w:t>Up to, inclusive</w:t>
            </w:r>
          </w:p>
        </w:tc>
        <w:tc>
          <w:tcPr>
            <w:tcW w:w="2206" w:type="dxa"/>
            <w:vMerge/>
            <w:vAlign w:val="bottom"/>
          </w:tcPr>
          <w:p w14:paraId="6CD82DEE" w14:textId="77777777" w:rsidR="00561279" w:rsidRPr="004065F8" w:rsidRDefault="00561279" w:rsidP="00536108">
            <w:pPr>
              <w:pStyle w:val="TableText"/>
              <w:jc w:val="center"/>
            </w:pPr>
          </w:p>
        </w:tc>
      </w:tr>
      <w:tr w:rsidR="00561279" w:rsidRPr="004065F8" w14:paraId="0E8B6A95" w14:textId="77777777" w:rsidTr="0089567F">
        <w:trPr>
          <w:jc w:val="center"/>
        </w:trPr>
        <w:tc>
          <w:tcPr>
            <w:tcW w:w="1075" w:type="dxa"/>
          </w:tcPr>
          <w:p w14:paraId="55079978" w14:textId="77777777" w:rsidR="00561279" w:rsidRPr="004065F8" w:rsidRDefault="00561279" w:rsidP="00536108">
            <w:pPr>
              <w:pStyle w:val="TableText"/>
              <w:jc w:val="center"/>
            </w:pPr>
            <w:r w:rsidRPr="004065F8">
              <w:t>($)</w:t>
            </w:r>
          </w:p>
        </w:tc>
        <w:tc>
          <w:tcPr>
            <w:tcW w:w="1116" w:type="dxa"/>
          </w:tcPr>
          <w:p w14:paraId="1F977872" w14:textId="77777777" w:rsidR="00561279" w:rsidRPr="004065F8" w:rsidRDefault="00561279" w:rsidP="00536108">
            <w:pPr>
              <w:pStyle w:val="TableText"/>
              <w:jc w:val="center"/>
            </w:pPr>
            <w:r w:rsidRPr="004065F8">
              <w:t>($)</w:t>
            </w:r>
          </w:p>
        </w:tc>
        <w:tc>
          <w:tcPr>
            <w:tcW w:w="2206" w:type="dxa"/>
          </w:tcPr>
          <w:p w14:paraId="10F47DD1" w14:textId="77777777" w:rsidR="00561279" w:rsidRPr="004065F8" w:rsidRDefault="00561279" w:rsidP="00536108">
            <w:pPr>
              <w:pStyle w:val="TableText"/>
              <w:jc w:val="center"/>
            </w:pPr>
            <w:r w:rsidRPr="004065F8">
              <w:t>($)</w:t>
            </w:r>
          </w:p>
        </w:tc>
      </w:tr>
      <w:tr w:rsidR="00561279" w:rsidRPr="004065F8" w14:paraId="6FE9F9F7" w14:textId="77777777" w:rsidTr="0089567F">
        <w:trPr>
          <w:jc w:val="center"/>
        </w:trPr>
        <w:tc>
          <w:tcPr>
            <w:tcW w:w="1075" w:type="dxa"/>
          </w:tcPr>
          <w:p w14:paraId="15849DB0" w14:textId="77777777" w:rsidR="00561279" w:rsidRPr="004065F8" w:rsidRDefault="00561279" w:rsidP="00536108">
            <w:pPr>
              <w:pStyle w:val="TableText"/>
              <w:jc w:val="center"/>
            </w:pPr>
            <w:r w:rsidRPr="004065F8">
              <w:t>0</w:t>
            </w:r>
          </w:p>
        </w:tc>
        <w:tc>
          <w:tcPr>
            <w:tcW w:w="1116" w:type="dxa"/>
          </w:tcPr>
          <w:p w14:paraId="1BA22E53" w14:textId="77777777" w:rsidR="00561279" w:rsidRPr="004065F8" w:rsidRDefault="00561279" w:rsidP="00536108">
            <w:pPr>
              <w:pStyle w:val="TableText"/>
              <w:jc w:val="center"/>
            </w:pPr>
            <w:r w:rsidRPr="004065F8">
              <w:t>50,000</w:t>
            </w:r>
          </w:p>
        </w:tc>
        <w:tc>
          <w:tcPr>
            <w:tcW w:w="2206" w:type="dxa"/>
          </w:tcPr>
          <w:p w14:paraId="37D7E146" w14:textId="77777777" w:rsidR="00561279" w:rsidRPr="004065F8" w:rsidRDefault="00561279" w:rsidP="00536108">
            <w:pPr>
              <w:pStyle w:val="TableText"/>
              <w:jc w:val="center"/>
            </w:pPr>
            <w:r w:rsidRPr="004065F8">
              <w:t>0</w:t>
            </w:r>
          </w:p>
        </w:tc>
      </w:tr>
      <w:tr w:rsidR="00561279" w:rsidRPr="004065F8" w14:paraId="27789D47" w14:textId="77777777" w:rsidTr="0089567F">
        <w:trPr>
          <w:jc w:val="center"/>
        </w:trPr>
        <w:tc>
          <w:tcPr>
            <w:tcW w:w="1075" w:type="dxa"/>
          </w:tcPr>
          <w:p w14:paraId="7E277A21" w14:textId="77777777" w:rsidR="00561279" w:rsidRPr="004065F8" w:rsidRDefault="00561279" w:rsidP="00536108">
            <w:pPr>
              <w:pStyle w:val="TableText"/>
              <w:jc w:val="center"/>
            </w:pPr>
            <w:r w:rsidRPr="004065F8">
              <w:t>50,000</w:t>
            </w:r>
          </w:p>
        </w:tc>
        <w:tc>
          <w:tcPr>
            <w:tcW w:w="1116" w:type="dxa"/>
          </w:tcPr>
          <w:p w14:paraId="4B853880" w14:textId="77777777" w:rsidR="00561279" w:rsidRPr="004065F8" w:rsidRDefault="00561279" w:rsidP="00536108">
            <w:pPr>
              <w:pStyle w:val="TableText"/>
              <w:jc w:val="center"/>
            </w:pPr>
            <w:r w:rsidRPr="004065F8">
              <w:t>100,000</w:t>
            </w:r>
          </w:p>
        </w:tc>
        <w:tc>
          <w:tcPr>
            <w:tcW w:w="2206" w:type="dxa"/>
          </w:tcPr>
          <w:p w14:paraId="50D571B9" w14:textId="77777777" w:rsidR="00561279" w:rsidRPr="004065F8" w:rsidRDefault="00561279" w:rsidP="00536108">
            <w:pPr>
              <w:pStyle w:val="TableText"/>
              <w:jc w:val="center"/>
            </w:pPr>
            <w:r w:rsidRPr="004065F8">
              <w:t>2,000</w:t>
            </w:r>
          </w:p>
        </w:tc>
      </w:tr>
      <w:tr w:rsidR="00561279" w:rsidRPr="004065F8" w14:paraId="1474ABD8" w14:textId="77777777" w:rsidTr="0089567F">
        <w:trPr>
          <w:jc w:val="center"/>
        </w:trPr>
        <w:tc>
          <w:tcPr>
            <w:tcW w:w="1075" w:type="dxa"/>
          </w:tcPr>
          <w:p w14:paraId="593662D1" w14:textId="77777777" w:rsidR="00561279" w:rsidRPr="004065F8" w:rsidRDefault="00561279" w:rsidP="00536108">
            <w:pPr>
              <w:pStyle w:val="TableText"/>
              <w:jc w:val="center"/>
            </w:pPr>
            <w:r w:rsidRPr="004065F8">
              <w:t>100,000</w:t>
            </w:r>
          </w:p>
        </w:tc>
        <w:tc>
          <w:tcPr>
            <w:tcW w:w="1116" w:type="dxa"/>
          </w:tcPr>
          <w:p w14:paraId="1679C458" w14:textId="77777777" w:rsidR="00561279" w:rsidRPr="004065F8" w:rsidRDefault="00561279" w:rsidP="00536108">
            <w:pPr>
              <w:pStyle w:val="TableText"/>
              <w:jc w:val="center"/>
            </w:pPr>
            <w:r w:rsidRPr="004065F8">
              <w:t>200,000</w:t>
            </w:r>
          </w:p>
        </w:tc>
        <w:tc>
          <w:tcPr>
            <w:tcW w:w="2206" w:type="dxa"/>
          </w:tcPr>
          <w:p w14:paraId="586E2455" w14:textId="77777777" w:rsidR="00561279" w:rsidRPr="004065F8" w:rsidRDefault="00561279" w:rsidP="00536108">
            <w:pPr>
              <w:pStyle w:val="TableText"/>
              <w:jc w:val="center"/>
            </w:pPr>
            <w:r w:rsidRPr="004065F8">
              <w:t>4,000</w:t>
            </w:r>
          </w:p>
        </w:tc>
      </w:tr>
      <w:tr w:rsidR="00561279" w:rsidRPr="004065F8" w14:paraId="1AB05587" w14:textId="77777777" w:rsidTr="0089567F">
        <w:trPr>
          <w:jc w:val="center"/>
        </w:trPr>
        <w:tc>
          <w:tcPr>
            <w:tcW w:w="1075" w:type="dxa"/>
          </w:tcPr>
          <w:p w14:paraId="5AF14493" w14:textId="77777777" w:rsidR="00561279" w:rsidRPr="004065F8" w:rsidRDefault="00561279" w:rsidP="00536108">
            <w:pPr>
              <w:pStyle w:val="TableText"/>
              <w:jc w:val="center"/>
            </w:pPr>
            <w:r w:rsidRPr="004065F8">
              <w:t>200,000</w:t>
            </w:r>
          </w:p>
        </w:tc>
        <w:tc>
          <w:tcPr>
            <w:tcW w:w="1116" w:type="dxa"/>
          </w:tcPr>
          <w:p w14:paraId="74E0A3B3" w14:textId="77777777" w:rsidR="00561279" w:rsidRPr="004065F8" w:rsidRDefault="00561279" w:rsidP="00536108">
            <w:pPr>
              <w:pStyle w:val="TableText"/>
              <w:jc w:val="center"/>
            </w:pPr>
            <w:r w:rsidRPr="004065F8">
              <w:t>500,000</w:t>
            </w:r>
          </w:p>
        </w:tc>
        <w:tc>
          <w:tcPr>
            <w:tcW w:w="2206" w:type="dxa"/>
          </w:tcPr>
          <w:p w14:paraId="68F5043C" w14:textId="77777777" w:rsidR="00561279" w:rsidRPr="004065F8" w:rsidRDefault="00561279" w:rsidP="00536108">
            <w:pPr>
              <w:pStyle w:val="TableText"/>
              <w:jc w:val="center"/>
            </w:pPr>
            <w:r w:rsidRPr="004065F8">
              <w:t>10,000</w:t>
            </w:r>
          </w:p>
        </w:tc>
      </w:tr>
      <w:tr w:rsidR="00561279" w:rsidRPr="004065F8" w14:paraId="5182906D" w14:textId="77777777" w:rsidTr="0089567F">
        <w:trPr>
          <w:jc w:val="center"/>
        </w:trPr>
        <w:tc>
          <w:tcPr>
            <w:tcW w:w="1075" w:type="dxa"/>
          </w:tcPr>
          <w:p w14:paraId="79CDECD0" w14:textId="77777777" w:rsidR="00561279" w:rsidRPr="004065F8" w:rsidRDefault="00561279" w:rsidP="00536108">
            <w:pPr>
              <w:pStyle w:val="TableText"/>
              <w:jc w:val="center"/>
            </w:pPr>
            <w:r w:rsidRPr="004065F8">
              <w:t>500,000</w:t>
            </w:r>
          </w:p>
        </w:tc>
        <w:tc>
          <w:tcPr>
            <w:tcW w:w="1116" w:type="dxa"/>
          </w:tcPr>
          <w:p w14:paraId="6C02E06B" w14:textId="77777777" w:rsidR="00561279" w:rsidRPr="004065F8" w:rsidRDefault="00561279" w:rsidP="00536108">
            <w:pPr>
              <w:pStyle w:val="TableText"/>
              <w:jc w:val="center"/>
            </w:pPr>
            <w:r w:rsidRPr="004065F8">
              <w:t>1,000,000</w:t>
            </w:r>
          </w:p>
        </w:tc>
        <w:tc>
          <w:tcPr>
            <w:tcW w:w="2206" w:type="dxa"/>
          </w:tcPr>
          <w:p w14:paraId="456868A0" w14:textId="77777777" w:rsidR="00561279" w:rsidRPr="004065F8" w:rsidRDefault="00561279" w:rsidP="00536108">
            <w:pPr>
              <w:pStyle w:val="TableText"/>
              <w:jc w:val="center"/>
            </w:pPr>
            <w:r w:rsidRPr="004065F8">
              <w:t>20,000</w:t>
            </w:r>
          </w:p>
        </w:tc>
      </w:tr>
      <w:tr w:rsidR="00561279" w:rsidRPr="004065F8" w14:paraId="5E547586" w14:textId="77777777" w:rsidTr="0089567F">
        <w:trPr>
          <w:jc w:val="center"/>
        </w:trPr>
        <w:tc>
          <w:tcPr>
            <w:tcW w:w="1075" w:type="dxa"/>
          </w:tcPr>
          <w:p w14:paraId="18EB7852" w14:textId="77777777" w:rsidR="00561279" w:rsidRPr="004065F8" w:rsidRDefault="00561279" w:rsidP="00536108">
            <w:pPr>
              <w:pStyle w:val="TableText"/>
              <w:jc w:val="center"/>
            </w:pPr>
            <w:r w:rsidRPr="004065F8">
              <w:t>1,000,000</w:t>
            </w:r>
          </w:p>
        </w:tc>
        <w:tc>
          <w:tcPr>
            <w:tcW w:w="1116" w:type="dxa"/>
          </w:tcPr>
          <w:p w14:paraId="1C73A9A6" w14:textId="77777777" w:rsidR="00561279" w:rsidRPr="004065F8" w:rsidRDefault="00561279" w:rsidP="00536108">
            <w:pPr>
              <w:pStyle w:val="TableText"/>
              <w:jc w:val="center"/>
            </w:pPr>
            <w:r w:rsidRPr="004065F8">
              <w:t>2,000,000</w:t>
            </w:r>
          </w:p>
        </w:tc>
        <w:tc>
          <w:tcPr>
            <w:tcW w:w="2206" w:type="dxa"/>
          </w:tcPr>
          <w:p w14:paraId="1C400033" w14:textId="77777777" w:rsidR="00561279" w:rsidRPr="004065F8" w:rsidRDefault="00561279" w:rsidP="00536108">
            <w:pPr>
              <w:pStyle w:val="TableText"/>
              <w:jc w:val="center"/>
            </w:pPr>
            <w:r w:rsidRPr="004065F8">
              <w:t>40,000</w:t>
            </w:r>
          </w:p>
        </w:tc>
      </w:tr>
      <w:tr w:rsidR="00561279" w:rsidRPr="004065F8" w14:paraId="5EC405E6" w14:textId="77777777" w:rsidTr="0089567F">
        <w:trPr>
          <w:jc w:val="center"/>
        </w:trPr>
        <w:tc>
          <w:tcPr>
            <w:tcW w:w="1075" w:type="dxa"/>
          </w:tcPr>
          <w:p w14:paraId="692D7D14" w14:textId="77777777" w:rsidR="00561279" w:rsidRPr="004065F8" w:rsidRDefault="00561279" w:rsidP="00536108">
            <w:pPr>
              <w:pStyle w:val="TableText"/>
              <w:jc w:val="center"/>
            </w:pPr>
            <w:r w:rsidRPr="004065F8">
              <w:t>2,000,000</w:t>
            </w:r>
          </w:p>
        </w:tc>
        <w:tc>
          <w:tcPr>
            <w:tcW w:w="1116" w:type="dxa"/>
          </w:tcPr>
          <w:p w14:paraId="11245B95" w14:textId="77777777" w:rsidR="00561279" w:rsidRPr="004065F8" w:rsidRDefault="00561279" w:rsidP="00536108">
            <w:pPr>
              <w:pStyle w:val="TableText"/>
              <w:jc w:val="center"/>
            </w:pPr>
            <w:r w:rsidRPr="004065F8">
              <w:t>5,000,000</w:t>
            </w:r>
          </w:p>
        </w:tc>
        <w:tc>
          <w:tcPr>
            <w:tcW w:w="2206" w:type="dxa"/>
          </w:tcPr>
          <w:p w14:paraId="3ADA2B83" w14:textId="77777777" w:rsidR="00561279" w:rsidRPr="004065F8" w:rsidRDefault="00561279" w:rsidP="00536108">
            <w:pPr>
              <w:pStyle w:val="TableText"/>
              <w:jc w:val="center"/>
            </w:pPr>
            <w:r w:rsidRPr="004065F8">
              <w:t>100,000</w:t>
            </w:r>
          </w:p>
        </w:tc>
      </w:tr>
      <w:tr w:rsidR="00561279" w:rsidRPr="004065F8" w14:paraId="21A9A166" w14:textId="77777777" w:rsidTr="0089567F">
        <w:trPr>
          <w:jc w:val="center"/>
        </w:trPr>
        <w:tc>
          <w:tcPr>
            <w:tcW w:w="1075" w:type="dxa"/>
          </w:tcPr>
          <w:p w14:paraId="21232312" w14:textId="77777777" w:rsidR="00561279" w:rsidRPr="004065F8" w:rsidRDefault="00561279" w:rsidP="00536108">
            <w:pPr>
              <w:pStyle w:val="TableText"/>
              <w:jc w:val="center"/>
            </w:pPr>
            <w:r w:rsidRPr="004065F8">
              <w:t>5,000,000</w:t>
            </w:r>
          </w:p>
        </w:tc>
        <w:tc>
          <w:tcPr>
            <w:tcW w:w="1116" w:type="dxa"/>
          </w:tcPr>
          <w:p w14:paraId="5C052D33" w14:textId="77777777" w:rsidR="00561279" w:rsidRPr="004065F8" w:rsidRDefault="00561279" w:rsidP="00536108">
            <w:pPr>
              <w:pStyle w:val="TableText"/>
              <w:jc w:val="center"/>
            </w:pPr>
            <w:r w:rsidRPr="004065F8">
              <w:t>10,000,000</w:t>
            </w:r>
          </w:p>
        </w:tc>
        <w:tc>
          <w:tcPr>
            <w:tcW w:w="2206" w:type="dxa"/>
          </w:tcPr>
          <w:p w14:paraId="4DA3D831" w14:textId="77777777" w:rsidR="00561279" w:rsidRPr="004065F8" w:rsidRDefault="00561279" w:rsidP="00536108">
            <w:pPr>
              <w:pStyle w:val="TableText"/>
              <w:jc w:val="center"/>
            </w:pPr>
            <w:r w:rsidRPr="004065F8">
              <w:t>200,000</w:t>
            </w:r>
          </w:p>
        </w:tc>
      </w:tr>
      <w:tr w:rsidR="00561279" w:rsidRPr="004065F8" w14:paraId="6C7C3EFF" w14:textId="77777777" w:rsidTr="0089567F">
        <w:trPr>
          <w:jc w:val="center"/>
        </w:trPr>
        <w:tc>
          <w:tcPr>
            <w:tcW w:w="1075" w:type="dxa"/>
          </w:tcPr>
          <w:p w14:paraId="03A1987B" w14:textId="77777777" w:rsidR="00561279" w:rsidRPr="004065F8" w:rsidRDefault="00561279" w:rsidP="00536108">
            <w:pPr>
              <w:pStyle w:val="TableText"/>
              <w:jc w:val="center"/>
            </w:pPr>
            <w:r w:rsidRPr="004065F8">
              <w:t>10,000,000</w:t>
            </w:r>
          </w:p>
        </w:tc>
        <w:tc>
          <w:tcPr>
            <w:tcW w:w="1116" w:type="dxa"/>
          </w:tcPr>
          <w:p w14:paraId="696352AA" w14:textId="77777777" w:rsidR="00561279" w:rsidRPr="004065F8" w:rsidRDefault="00561279" w:rsidP="00536108">
            <w:pPr>
              <w:pStyle w:val="TableText"/>
              <w:jc w:val="center"/>
            </w:pPr>
            <w:r w:rsidRPr="004065F8">
              <w:t>20,000,000</w:t>
            </w:r>
          </w:p>
        </w:tc>
        <w:tc>
          <w:tcPr>
            <w:tcW w:w="2206" w:type="dxa"/>
          </w:tcPr>
          <w:p w14:paraId="22673580" w14:textId="77777777" w:rsidR="00561279" w:rsidRPr="004065F8" w:rsidRDefault="00561279" w:rsidP="00536108">
            <w:pPr>
              <w:pStyle w:val="TableText"/>
              <w:jc w:val="center"/>
            </w:pPr>
            <w:r w:rsidRPr="004065F8">
              <w:t>400,000</w:t>
            </w:r>
          </w:p>
        </w:tc>
      </w:tr>
      <w:tr w:rsidR="00561279" w:rsidRPr="004065F8" w14:paraId="1EFCF6AD" w14:textId="77777777" w:rsidTr="0089567F">
        <w:trPr>
          <w:jc w:val="center"/>
        </w:trPr>
        <w:tc>
          <w:tcPr>
            <w:tcW w:w="1075" w:type="dxa"/>
          </w:tcPr>
          <w:p w14:paraId="7589B21F" w14:textId="77777777" w:rsidR="00561279" w:rsidRPr="004065F8" w:rsidRDefault="00561279" w:rsidP="00536108">
            <w:pPr>
              <w:pStyle w:val="TableText"/>
              <w:jc w:val="center"/>
            </w:pPr>
            <w:r w:rsidRPr="004065F8">
              <w:t>20,000,000</w:t>
            </w:r>
          </w:p>
        </w:tc>
        <w:tc>
          <w:tcPr>
            <w:tcW w:w="1116" w:type="dxa"/>
          </w:tcPr>
          <w:p w14:paraId="3E834845" w14:textId="77777777" w:rsidR="00561279" w:rsidRPr="004065F8" w:rsidRDefault="00561279" w:rsidP="00536108">
            <w:pPr>
              <w:pStyle w:val="TableText"/>
              <w:jc w:val="center"/>
            </w:pPr>
            <w:r w:rsidRPr="004065F8">
              <w:t>40,000,000</w:t>
            </w:r>
          </w:p>
        </w:tc>
        <w:tc>
          <w:tcPr>
            <w:tcW w:w="2206" w:type="dxa"/>
          </w:tcPr>
          <w:p w14:paraId="4D786664" w14:textId="77777777" w:rsidR="00561279" w:rsidRPr="004065F8" w:rsidRDefault="00561279" w:rsidP="00536108">
            <w:pPr>
              <w:pStyle w:val="TableText"/>
              <w:jc w:val="center"/>
            </w:pPr>
            <w:r w:rsidRPr="004065F8">
              <w:t>800,000</w:t>
            </w:r>
          </w:p>
        </w:tc>
      </w:tr>
      <w:tr w:rsidR="00561279" w:rsidRPr="004065F8" w14:paraId="34A7AEF2" w14:textId="77777777" w:rsidTr="0089567F">
        <w:trPr>
          <w:jc w:val="center"/>
        </w:trPr>
        <w:tc>
          <w:tcPr>
            <w:tcW w:w="1075" w:type="dxa"/>
          </w:tcPr>
          <w:p w14:paraId="69901759" w14:textId="77777777" w:rsidR="00561279" w:rsidRPr="004065F8" w:rsidRDefault="00561279" w:rsidP="00536108">
            <w:pPr>
              <w:pStyle w:val="TableText"/>
              <w:jc w:val="center"/>
            </w:pPr>
            <w:r w:rsidRPr="004065F8">
              <w:t>40,000,000</w:t>
            </w:r>
          </w:p>
        </w:tc>
        <w:tc>
          <w:tcPr>
            <w:tcW w:w="1116" w:type="dxa"/>
          </w:tcPr>
          <w:p w14:paraId="57DC9CA1" w14:textId="77777777" w:rsidR="00561279" w:rsidRPr="004065F8" w:rsidRDefault="00561279" w:rsidP="00536108">
            <w:pPr>
              <w:pStyle w:val="TableText"/>
              <w:jc w:val="center"/>
            </w:pPr>
            <w:r w:rsidRPr="004065F8">
              <w:t>60,000,000</w:t>
            </w:r>
          </w:p>
        </w:tc>
        <w:tc>
          <w:tcPr>
            <w:tcW w:w="2206" w:type="dxa"/>
          </w:tcPr>
          <w:p w14:paraId="4571AA86" w14:textId="77777777" w:rsidR="00561279" w:rsidRPr="004065F8" w:rsidRDefault="00561279" w:rsidP="00536108">
            <w:pPr>
              <w:pStyle w:val="TableText"/>
              <w:jc w:val="center"/>
            </w:pPr>
            <w:r w:rsidRPr="004065F8">
              <w:t>1,200,000</w:t>
            </w:r>
          </w:p>
        </w:tc>
      </w:tr>
      <w:tr w:rsidR="00561279" w:rsidRPr="004065F8" w14:paraId="552F4388" w14:textId="77777777" w:rsidTr="0089567F">
        <w:trPr>
          <w:jc w:val="center"/>
        </w:trPr>
        <w:tc>
          <w:tcPr>
            <w:tcW w:w="1075" w:type="dxa"/>
          </w:tcPr>
          <w:p w14:paraId="1FEF52B5" w14:textId="77777777" w:rsidR="00561279" w:rsidRPr="004065F8" w:rsidRDefault="00561279" w:rsidP="00536108">
            <w:pPr>
              <w:pStyle w:val="TableText"/>
              <w:jc w:val="center"/>
            </w:pPr>
            <w:r w:rsidRPr="004065F8">
              <w:t>60,000,000</w:t>
            </w:r>
          </w:p>
        </w:tc>
        <w:tc>
          <w:tcPr>
            <w:tcW w:w="1116" w:type="dxa"/>
          </w:tcPr>
          <w:p w14:paraId="3B44A699" w14:textId="77777777" w:rsidR="00561279" w:rsidRPr="004065F8" w:rsidRDefault="00561279" w:rsidP="00536108">
            <w:pPr>
              <w:pStyle w:val="TableText"/>
              <w:jc w:val="center"/>
            </w:pPr>
            <w:r w:rsidRPr="004065F8">
              <w:t>80,000,000</w:t>
            </w:r>
          </w:p>
        </w:tc>
        <w:tc>
          <w:tcPr>
            <w:tcW w:w="2206" w:type="dxa"/>
          </w:tcPr>
          <w:p w14:paraId="53B801F0" w14:textId="77777777" w:rsidR="00561279" w:rsidRPr="004065F8" w:rsidRDefault="00561279" w:rsidP="00536108">
            <w:pPr>
              <w:pStyle w:val="TableText"/>
              <w:jc w:val="center"/>
            </w:pPr>
            <w:r w:rsidRPr="004065F8">
              <w:t>1,600,000</w:t>
            </w:r>
          </w:p>
        </w:tc>
      </w:tr>
      <w:tr w:rsidR="008A542C" w:rsidRPr="004065F8" w14:paraId="020F2652" w14:textId="77777777" w:rsidTr="0089567F">
        <w:trPr>
          <w:jc w:val="center"/>
        </w:trPr>
        <w:tc>
          <w:tcPr>
            <w:tcW w:w="1075" w:type="dxa"/>
          </w:tcPr>
          <w:p w14:paraId="113E8F1A" w14:textId="77777777" w:rsidR="008A542C" w:rsidRPr="008A542C" w:rsidRDefault="008A542C" w:rsidP="008A542C">
            <w:pPr>
              <w:jc w:val="center"/>
              <w:rPr>
                <w:sz w:val="18"/>
              </w:rPr>
            </w:pPr>
            <w:r w:rsidRPr="008A542C">
              <w:rPr>
                <w:sz w:val="18"/>
              </w:rPr>
              <w:t>80,000,000</w:t>
            </w:r>
          </w:p>
        </w:tc>
        <w:tc>
          <w:tcPr>
            <w:tcW w:w="1116" w:type="dxa"/>
          </w:tcPr>
          <w:p w14:paraId="280491FE" w14:textId="77777777" w:rsidR="008A542C" w:rsidRPr="008A542C" w:rsidRDefault="008A542C" w:rsidP="008A542C">
            <w:pPr>
              <w:jc w:val="center"/>
              <w:rPr>
                <w:sz w:val="18"/>
              </w:rPr>
            </w:pPr>
            <w:r w:rsidRPr="008A542C">
              <w:rPr>
                <w:sz w:val="18"/>
              </w:rPr>
              <w:t>100,000,000</w:t>
            </w:r>
          </w:p>
        </w:tc>
        <w:tc>
          <w:tcPr>
            <w:tcW w:w="2206" w:type="dxa"/>
          </w:tcPr>
          <w:p w14:paraId="526183EE" w14:textId="77777777" w:rsidR="008A542C" w:rsidRPr="008A542C" w:rsidRDefault="008A542C" w:rsidP="008A542C">
            <w:pPr>
              <w:jc w:val="center"/>
              <w:rPr>
                <w:sz w:val="18"/>
              </w:rPr>
            </w:pPr>
            <w:r w:rsidRPr="008A542C">
              <w:rPr>
                <w:sz w:val="18"/>
              </w:rPr>
              <w:t>2,000,000</w:t>
            </w:r>
          </w:p>
        </w:tc>
      </w:tr>
      <w:tr w:rsidR="008A542C" w:rsidRPr="004065F8" w14:paraId="7C93B719" w14:textId="77777777" w:rsidTr="0089567F">
        <w:trPr>
          <w:jc w:val="center"/>
        </w:trPr>
        <w:tc>
          <w:tcPr>
            <w:tcW w:w="1075" w:type="dxa"/>
          </w:tcPr>
          <w:p w14:paraId="1A3DB7A3" w14:textId="77777777" w:rsidR="008A542C" w:rsidRPr="008A542C" w:rsidRDefault="008A542C" w:rsidP="008A542C">
            <w:pPr>
              <w:jc w:val="center"/>
              <w:rPr>
                <w:sz w:val="18"/>
              </w:rPr>
            </w:pPr>
            <w:r w:rsidRPr="008A542C">
              <w:rPr>
                <w:sz w:val="18"/>
              </w:rPr>
              <w:t>100,000,000</w:t>
            </w:r>
          </w:p>
        </w:tc>
        <w:tc>
          <w:tcPr>
            <w:tcW w:w="1116" w:type="dxa"/>
          </w:tcPr>
          <w:p w14:paraId="4CBAA343" w14:textId="77777777" w:rsidR="008A542C" w:rsidRPr="008A542C" w:rsidRDefault="008A542C" w:rsidP="008A542C">
            <w:pPr>
              <w:jc w:val="center"/>
              <w:rPr>
                <w:sz w:val="18"/>
              </w:rPr>
            </w:pPr>
            <w:r w:rsidRPr="008A542C">
              <w:rPr>
                <w:sz w:val="18"/>
              </w:rPr>
              <w:t>120,000,000</w:t>
            </w:r>
          </w:p>
        </w:tc>
        <w:tc>
          <w:tcPr>
            <w:tcW w:w="2206" w:type="dxa"/>
          </w:tcPr>
          <w:p w14:paraId="2F1610EA" w14:textId="77777777" w:rsidR="008A542C" w:rsidRPr="008A542C" w:rsidRDefault="008A542C" w:rsidP="008A542C">
            <w:pPr>
              <w:jc w:val="center"/>
              <w:rPr>
                <w:sz w:val="18"/>
              </w:rPr>
            </w:pPr>
            <w:r w:rsidRPr="008A542C">
              <w:rPr>
                <w:sz w:val="18"/>
              </w:rPr>
              <w:t>2,400,000</w:t>
            </w:r>
          </w:p>
        </w:tc>
      </w:tr>
      <w:tr w:rsidR="008A542C" w:rsidRPr="004065F8" w14:paraId="19531869" w14:textId="77777777" w:rsidTr="0089567F">
        <w:trPr>
          <w:jc w:val="center"/>
        </w:trPr>
        <w:tc>
          <w:tcPr>
            <w:tcW w:w="1075" w:type="dxa"/>
          </w:tcPr>
          <w:p w14:paraId="49E42EF8" w14:textId="77777777" w:rsidR="008A542C" w:rsidRPr="008A542C" w:rsidRDefault="008A542C" w:rsidP="008A542C">
            <w:pPr>
              <w:jc w:val="center"/>
              <w:rPr>
                <w:sz w:val="18"/>
              </w:rPr>
            </w:pPr>
            <w:r w:rsidRPr="008A542C">
              <w:rPr>
                <w:sz w:val="18"/>
              </w:rPr>
              <w:t>120,000,000</w:t>
            </w:r>
          </w:p>
        </w:tc>
        <w:tc>
          <w:tcPr>
            <w:tcW w:w="1116" w:type="dxa"/>
          </w:tcPr>
          <w:p w14:paraId="51EAC7B8" w14:textId="77777777" w:rsidR="008A542C" w:rsidRPr="008A542C" w:rsidRDefault="008A542C" w:rsidP="008A542C">
            <w:pPr>
              <w:jc w:val="center"/>
              <w:rPr>
                <w:sz w:val="18"/>
              </w:rPr>
            </w:pPr>
            <w:r w:rsidRPr="008A542C">
              <w:rPr>
                <w:sz w:val="18"/>
              </w:rPr>
              <w:t>140,000,000</w:t>
            </w:r>
          </w:p>
        </w:tc>
        <w:tc>
          <w:tcPr>
            <w:tcW w:w="2206" w:type="dxa"/>
          </w:tcPr>
          <w:p w14:paraId="36FCBFB3" w14:textId="77777777" w:rsidR="008A542C" w:rsidRPr="008A542C" w:rsidRDefault="008A542C" w:rsidP="008A542C">
            <w:pPr>
              <w:jc w:val="center"/>
              <w:rPr>
                <w:sz w:val="18"/>
              </w:rPr>
            </w:pPr>
            <w:r w:rsidRPr="008A542C">
              <w:rPr>
                <w:sz w:val="18"/>
              </w:rPr>
              <w:t>2,800,000</w:t>
            </w:r>
          </w:p>
        </w:tc>
      </w:tr>
      <w:tr w:rsidR="008A542C" w:rsidRPr="004065F8" w14:paraId="66E67D01" w14:textId="77777777" w:rsidTr="0089567F">
        <w:trPr>
          <w:jc w:val="center"/>
        </w:trPr>
        <w:tc>
          <w:tcPr>
            <w:tcW w:w="1075" w:type="dxa"/>
          </w:tcPr>
          <w:p w14:paraId="23DC3A94" w14:textId="77777777" w:rsidR="008A542C" w:rsidRPr="008A542C" w:rsidRDefault="008A542C" w:rsidP="008A542C">
            <w:pPr>
              <w:jc w:val="center"/>
              <w:rPr>
                <w:sz w:val="18"/>
              </w:rPr>
            </w:pPr>
            <w:r w:rsidRPr="008A542C">
              <w:rPr>
                <w:sz w:val="18"/>
              </w:rPr>
              <w:t>140,000,000</w:t>
            </w:r>
          </w:p>
        </w:tc>
        <w:tc>
          <w:tcPr>
            <w:tcW w:w="1116" w:type="dxa"/>
          </w:tcPr>
          <w:p w14:paraId="52C00FB7" w14:textId="77777777" w:rsidR="008A542C" w:rsidRPr="008A542C" w:rsidRDefault="008A542C" w:rsidP="008A542C">
            <w:pPr>
              <w:jc w:val="center"/>
              <w:rPr>
                <w:sz w:val="18"/>
              </w:rPr>
            </w:pPr>
            <w:r w:rsidRPr="008A542C">
              <w:rPr>
                <w:sz w:val="18"/>
              </w:rPr>
              <w:t>160,000,000</w:t>
            </w:r>
          </w:p>
        </w:tc>
        <w:tc>
          <w:tcPr>
            <w:tcW w:w="2206" w:type="dxa"/>
          </w:tcPr>
          <w:p w14:paraId="2D27B20E" w14:textId="77777777" w:rsidR="008A542C" w:rsidRPr="008A542C" w:rsidRDefault="008A542C" w:rsidP="008A542C">
            <w:pPr>
              <w:jc w:val="center"/>
              <w:rPr>
                <w:sz w:val="18"/>
              </w:rPr>
            </w:pPr>
            <w:r w:rsidRPr="008A542C">
              <w:rPr>
                <w:sz w:val="18"/>
              </w:rPr>
              <w:t>3,200,000</w:t>
            </w:r>
          </w:p>
        </w:tc>
      </w:tr>
      <w:tr w:rsidR="008A542C" w:rsidRPr="004065F8" w14:paraId="303763FF" w14:textId="77777777" w:rsidTr="0089567F">
        <w:trPr>
          <w:jc w:val="center"/>
        </w:trPr>
        <w:tc>
          <w:tcPr>
            <w:tcW w:w="1075" w:type="dxa"/>
          </w:tcPr>
          <w:p w14:paraId="335678DD" w14:textId="77777777" w:rsidR="008A542C" w:rsidRPr="008A542C" w:rsidRDefault="008A542C" w:rsidP="008A542C">
            <w:pPr>
              <w:jc w:val="center"/>
              <w:rPr>
                <w:sz w:val="18"/>
              </w:rPr>
            </w:pPr>
            <w:r w:rsidRPr="008A542C">
              <w:rPr>
                <w:sz w:val="18"/>
              </w:rPr>
              <w:t>160,000,000</w:t>
            </w:r>
          </w:p>
        </w:tc>
        <w:tc>
          <w:tcPr>
            <w:tcW w:w="1116" w:type="dxa"/>
          </w:tcPr>
          <w:p w14:paraId="17678689" w14:textId="77777777" w:rsidR="008A542C" w:rsidRPr="008A542C" w:rsidRDefault="008A542C" w:rsidP="008A542C">
            <w:pPr>
              <w:jc w:val="center"/>
              <w:rPr>
                <w:sz w:val="18"/>
              </w:rPr>
            </w:pPr>
            <w:r w:rsidRPr="008A542C">
              <w:rPr>
                <w:sz w:val="18"/>
              </w:rPr>
              <w:t>180,000,000</w:t>
            </w:r>
          </w:p>
        </w:tc>
        <w:tc>
          <w:tcPr>
            <w:tcW w:w="2206" w:type="dxa"/>
          </w:tcPr>
          <w:p w14:paraId="79A0FDD9" w14:textId="77777777" w:rsidR="008A542C" w:rsidRPr="008A542C" w:rsidRDefault="008A542C" w:rsidP="008A542C">
            <w:pPr>
              <w:jc w:val="center"/>
              <w:rPr>
                <w:sz w:val="18"/>
              </w:rPr>
            </w:pPr>
            <w:r w:rsidRPr="008A542C">
              <w:rPr>
                <w:sz w:val="18"/>
              </w:rPr>
              <w:t>3,600,000</w:t>
            </w:r>
          </w:p>
        </w:tc>
      </w:tr>
      <w:tr w:rsidR="008A542C" w:rsidRPr="004065F8" w14:paraId="739657CD" w14:textId="77777777" w:rsidTr="0089567F">
        <w:trPr>
          <w:jc w:val="center"/>
        </w:trPr>
        <w:tc>
          <w:tcPr>
            <w:tcW w:w="1075" w:type="dxa"/>
          </w:tcPr>
          <w:p w14:paraId="5803F258" w14:textId="77777777" w:rsidR="008A542C" w:rsidRPr="008A542C" w:rsidRDefault="008A542C" w:rsidP="008A542C">
            <w:pPr>
              <w:jc w:val="center"/>
              <w:rPr>
                <w:sz w:val="18"/>
              </w:rPr>
            </w:pPr>
            <w:r w:rsidRPr="008A542C">
              <w:rPr>
                <w:sz w:val="18"/>
              </w:rPr>
              <w:t>180,000,000</w:t>
            </w:r>
          </w:p>
        </w:tc>
        <w:tc>
          <w:tcPr>
            <w:tcW w:w="1116" w:type="dxa"/>
          </w:tcPr>
          <w:p w14:paraId="2A750977" w14:textId="77777777" w:rsidR="008A542C" w:rsidRPr="008A542C" w:rsidRDefault="008A542C" w:rsidP="008A542C">
            <w:pPr>
              <w:jc w:val="center"/>
              <w:rPr>
                <w:sz w:val="18"/>
              </w:rPr>
            </w:pPr>
            <w:r w:rsidRPr="008A542C">
              <w:rPr>
                <w:sz w:val="18"/>
              </w:rPr>
              <w:t>200,000,000</w:t>
            </w:r>
          </w:p>
        </w:tc>
        <w:tc>
          <w:tcPr>
            <w:tcW w:w="2206" w:type="dxa"/>
          </w:tcPr>
          <w:p w14:paraId="66F8D87E" w14:textId="77777777" w:rsidR="008A542C" w:rsidRPr="008A542C" w:rsidRDefault="008A542C" w:rsidP="008A542C">
            <w:pPr>
              <w:jc w:val="center"/>
              <w:rPr>
                <w:sz w:val="18"/>
              </w:rPr>
            </w:pPr>
            <w:r w:rsidRPr="008A542C">
              <w:rPr>
                <w:sz w:val="18"/>
              </w:rPr>
              <w:t>4,000,000</w:t>
            </w:r>
          </w:p>
        </w:tc>
      </w:tr>
      <w:tr w:rsidR="008A542C" w:rsidRPr="004065F8" w14:paraId="56955DFD" w14:textId="77777777" w:rsidTr="0089567F">
        <w:trPr>
          <w:jc w:val="center"/>
        </w:trPr>
        <w:tc>
          <w:tcPr>
            <w:tcW w:w="1075" w:type="dxa"/>
          </w:tcPr>
          <w:p w14:paraId="69B3413E" w14:textId="77777777" w:rsidR="008A542C" w:rsidRPr="008A542C" w:rsidRDefault="008A542C" w:rsidP="008A542C">
            <w:pPr>
              <w:jc w:val="center"/>
              <w:rPr>
                <w:sz w:val="18"/>
              </w:rPr>
            </w:pPr>
            <w:r w:rsidRPr="008A542C">
              <w:rPr>
                <w:sz w:val="18"/>
              </w:rPr>
              <w:t>200,000,000</w:t>
            </w:r>
          </w:p>
        </w:tc>
        <w:tc>
          <w:tcPr>
            <w:tcW w:w="1116" w:type="dxa"/>
          </w:tcPr>
          <w:p w14:paraId="1CDAC569" w14:textId="77777777" w:rsidR="008A542C" w:rsidRPr="008A542C" w:rsidRDefault="008A542C" w:rsidP="008A542C">
            <w:pPr>
              <w:jc w:val="center"/>
              <w:rPr>
                <w:sz w:val="18"/>
              </w:rPr>
            </w:pPr>
            <w:r w:rsidRPr="008A542C">
              <w:rPr>
                <w:sz w:val="18"/>
              </w:rPr>
              <w:t>220,000,000</w:t>
            </w:r>
          </w:p>
        </w:tc>
        <w:tc>
          <w:tcPr>
            <w:tcW w:w="2206" w:type="dxa"/>
          </w:tcPr>
          <w:p w14:paraId="0FD4177A" w14:textId="77777777" w:rsidR="008A542C" w:rsidRPr="008A542C" w:rsidRDefault="008A542C" w:rsidP="008A542C">
            <w:pPr>
              <w:jc w:val="center"/>
              <w:rPr>
                <w:sz w:val="18"/>
              </w:rPr>
            </w:pPr>
            <w:r w:rsidRPr="008A542C">
              <w:rPr>
                <w:sz w:val="18"/>
              </w:rPr>
              <w:t>4,400,000</w:t>
            </w:r>
          </w:p>
        </w:tc>
      </w:tr>
      <w:tr w:rsidR="008A542C" w:rsidRPr="004065F8" w14:paraId="41FD02AB" w14:textId="77777777" w:rsidTr="0089567F">
        <w:trPr>
          <w:jc w:val="center"/>
        </w:trPr>
        <w:tc>
          <w:tcPr>
            <w:tcW w:w="1075" w:type="dxa"/>
          </w:tcPr>
          <w:p w14:paraId="3B43955E" w14:textId="77777777" w:rsidR="008A542C" w:rsidRPr="008A542C" w:rsidRDefault="008A542C" w:rsidP="008A542C">
            <w:pPr>
              <w:jc w:val="center"/>
              <w:rPr>
                <w:sz w:val="18"/>
              </w:rPr>
            </w:pPr>
            <w:r w:rsidRPr="008A542C">
              <w:rPr>
                <w:sz w:val="18"/>
              </w:rPr>
              <w:t>220,000,000</w:t>
            </w:r>
          </w:p>
        </w:tc>
        <w:tc>
          <w:tcPr>
            <w:tcW w:w="1116" w:type="dxa"/>
          </w:tcPr>
          <w:p w14:paraId="2AC6048D" w14:textId="77777777" w:rsidR="008A542C" w:rsidRPr="008A542C" w:rsidRDefault="008A542C" w:rsidP="008A542C">
            <w:pPr>
              <w:jc w:val="center"/>
              <w:rPr>
                <w:sz w:val="18"/>
              </w:rPr>
            </w:pPr>
            <w:r w:rsidRPr="008A542C">
              <w:rPr>
                <w:sz w:val="18"/>
              </w:rPr>
              <w:t>240,000,000</w:t>
            </w:r>
          </w:p>
        </w:tc>
        <w:tc>
          <w:tcPr>
            <w:tcW w:w="2206" w:type="dxa"/>
          </w:tcPr>
          <w:p w14:paraId="09A9610E" w14:textId="77777777" w:rsidR="008A542C" w:rsidRPr="008A542C" w:rsidRDefault="008A542C" w:rsidP="008A542C">
            <w:pPr>
              <w:jc w:val="center"/>
              <w:rPr>
                <w:sz w:val="18"/>
              </w:rPr>
            </w:pPr>
            <w:r w:rsidRPr="008A542C">
              <w:rPr>
                <w:sz w:val="18"/>
              </w:rPr>
              <w:t>4,800,000</w:t>
            </w:r>
          </w:p>
        </w:tc>
      </w:tr>
      <w:tr w:rsidR="008A542C" w:rsidRPr="004065F8" w14:paraId="66F4A750" w14:textId="77777777" w:rsidTr="0089567F">
        <w:trPr>
          <w:jc w:val="center"/>
        </w:trPr>
        <w:tc>
          <w:tcPr>
            <w:tcW w:w="1075" w:type="dxa"/>
          </w:tcPr>
          <w:p w14:paraId="225C36E2" w14:textId="77777777" w:rsidR="008A542C" w:rsidRPr="008A542C" w:rsidRDefault="008A542C" w:rsidP="008A542C">
            <w:pPr>
              <w:jc w:val="center"/>
              <w:rPr>
                <w:sz w:val="18"/>
              </w:rPr>
            </w:pPr>
            <w:r w:rsidRPr="008A542C">
              <w:rPr>
                <w:sz w:val="18"/>
              </w:rPr>
              <w:t>240,000,000</w:t>
            </w:r>
          </w:p>
        </w:tc>
        <w:tc>
          <w:tcPr>
            <w:tcW w:w="1116" w:type="dxa"/>
          </w:tcPr>
          <w:p w14:paraId="46B250FF" w14:textId="77777777" w:rsidR="008A542C" w:rsidRPr="008A542C" w:rsidRDefault="008A542C" w:rsidP="008A542C">
            <w:pPr>
              <w:jc w:val="center"/>
              <w:rPr>
                <w:sz w:val="18"/>
              </w:rPr>
            </w:pPr>
            <w:r w:rsidRPr="008A542C">
              <w:rPr>
                <w:sz w:val="18"/>
              </w:rPr>
              <w:t>260,000,000</w:t>
            </w:r>
          </w:p>
        </w:tc>
        <w:tc>
          <w:tcPr>
            <w:tcW w:w="2206" w:type="dxa"/>
          </w:tcPr>
          <w:p w14:paraId="41DA18C2" w14:textId="77777777" w:rsidR="008A542C" w:rsidRPr="008A542C" w:rsidRDefault="008A542C" w:rsidP="008A542C">
            <w:pPr>
              <w:jc w:val="center"/>
              <w:rPr>
                <w:sz w:val="18"/>
              </w:rPr>
            </w:pPr>
            <w:r w:rsidRPr="008A542C">
              <w:rPr>
                <w:sz w:val="18"/>
              </w:rPr>
              <w:t>5,200,000</w:t>
            </w:r>
          </w:p>
        </w:tc>
      </w:tr>
      <w:tr w:rsidR="008A542C" w:rsidRPr="004065F8" w14:paraId="6FECB295" w14:textId="77777777" w:rsidTr="0089567F">
        <w:trPr>
          <w:jc w:val="center"/>
        </w:trPr>
        <w:tc>
          <w:tcPr>
            <w:tcW w:w="1075" w:type="dxa"/>
          </w:tcPr>
          <w:p w14:paraId="52C383EC" w14:textId="77777777" w:rsidR="008A542C" w:rsidRPr="008A542C" w:rsidRDefault="008A542C" w:rsidP="008A542C">
            <w:pPr>
              <w:jc w:val="center"/>
              <w:rPr>
                <w:sz w:val="18"/>
              </w:rPr>
            </w:pPr>
            <w:r w:rsidRPr="008A542C">
              <w:rPr>
                <w:sz w:val="18"/>
              </w:rPr>
              <w:t>260,000,000</w:t>
            </w:r>
          </w:p>
        </w:tc>
        <w:tc>
          <w:tcPr>
            <w:tcW w:w="1116" w:type="dxa"/>
          </w:tcPr>
          <w:p w14:paraId="31A8E919" w14:textId="77777777" w:rsidR="008A542C" w:rsidRPr="008A542C" w:rsidRDefault="008A542C" w:rsidP="008A542C">
            <w:pPr>
              <w:jc w:val="center"/>
              <w:rPr>
                <w:sz w:val="18"/>
              </w:rPr>
            </w:pPr>
            <w:r w:rsidRPr="008A542C">
              <w:rPr>
                <w:sz w:val="18"/>
              </w:rPr>
              <w:t>280,000,000</w:t>
            </w:r>
          </w:p>
        </w:tc>
        <w:tc>
          <w:tcPr>
            <w:tcW w:w="2206" w:type="dxa"/>
          </w:tcPr>
          <w:p w14:paraId="3803414B" w14:textId="77777777" w:rsidR="008A542C" w:rsidRPr="008A542C" w:rsidRDefault="008A542C" w:rsidP="008A542C">
            <w:pPr>
              <w:jc w:val="center"/>
              <w:rPr>
                <w:sz w:val="18"/>
              </w:rPr>
            </w:pPr>
            <w:r w:rsidRPr="008A542C">
              <w:rPr>
                <w:sz w:val="18"/>
              </w:rPr>
              <w:t>5,600,000</w:t>
            </w:r>
          </w:p>
        </w:tc>
      </w:tr>
      <w:tr w:rsidR="008A542C" w:rsidRPr="004065F8" w14:paraId="32C42F10" w14:textId="77777777" w:rsidTr="0089567F">
        <w:trPr>
          <w:jc w:val="center"/>
        </w:trPr>
        <w:tc>
          <w:tcPr>
            <w:tcW w:w="1075" w:type="dxa"/>
          </w:tcPr>
          <w:p w14:paraId="668C0440" w14:textId="77777777" w:rsidR="008A542C" w:rsidRPr="008A542C" w:rsidRDefault="008A542C" w:rsidP="008A542C">
            <w:pPr>
              <w:jc w:val="center"/>
              <w:rPr>
                <w:sz w:val="18"/>
              </w:rPr>
            </w:pPr>
            <w:r w:rsidRPr="008A542C">
              <w:rPr>
                <w:sz w:val="18"/>
              </w:rPr>
              <w:t>280,000,000</w:t>
            </w:r>
          </w:p>
        </w:tc>
        <w:tc>
          <w:tcPr>
            <w:tcW w:w="1116" w:type="dxa"/>
          </w:tcPr>
          <w:p w14:paraId="248BEA7C" w14:textId="77777777" w:rsidR="008A542C" w:rsidRPr="008A542C" w:rsidRDefault="008A542C" w:rsidP="008A542C">
            <w:pPr>
              <w:jc w:val="center"/>
              <w:rPr>
                <w:sz w:val="18"/>
              </w:rPr>
            </w:pPr>
            <w:r w:rsidRPr="008A542C">
              <w:rPr>
                <w:sz w:val="18"/>
              </w:rPr>
              <w:t>300,000,000</w:t>
            </w:r>
          </w:p>
        </w:tc>
        <w:tc>
          <w:tcPr>
            <w:tcW w:w="2206" w:type="dxa"/>
          </w:tcPr>
          <w:p w14:paraId="26AF6BB8" w14:textId="77777777" w:rsidR="008A542C" w:rsidRPr="008A542C" w:rsidRDefault="008A542C" w:rsidP="008A542C">
            <w:pPr>
              <w:jc w:val="center"/>
              <w:rPr>
                <w:sz w:val="18"/>
              </w:rPr>
            </w:pPr>
            <w:r w:rsidRPr="008A542C">
              <w:rPr>
                <w:sz w:val="18"/>
              </w:rPr>
              <w:t>6,000,000</w:t>
            </w:r>
          </w:p>
        </w:tc>
      </w:tr>
      <w:tr w:rsidR="008A542C" w:rsidRPr="004065F8" w14:paraId="5E6822C3" w14:textId="77777777" w:rsidTr="0089567F">
        <w:trPr>
          <w:jc w:val="center"/>
        </w:trPr>
        <w:tc>
          <w:tcPr>
            <w:tcW w:w="1075" w:type="dxa"/>
          </w:tcPr>
          <w:p w14:paraId="2B4E3BA6" w14:textId="77777777" w:rsidR="008A542C" w:rsidRPr="008A542C" w:rsidRDefault="008A542C" w:rsidP="008A542C">
            <w:pPr>
              <w:jc w:val="center"/>
              <w:rPr>
                <w:sz w:val="18"/>
              </w:rPr>
            </w:pPr>
            <w:r w:rsidRPr="008A542C">
              <w:rPr>
                <w:sz w:val="18"/>
              </w:rPr>
              <w:t>300,000,000</w:t>
            </w:r>
          </w:p>
        </w:tc>
        <w:tc>
          <w:tcPr>
            <w:tcW w:w="1116" w:type="dxa"/>
          </w:tcPr>
          <w:p w14:paraId="73532A0A" w14:textId="77777777" w:rsidR="008A542C" w:rsidRPr="008A542C" w:rsidRDefault="008A542C" w:rsidP="008A542C">
            <w:pPr>
              <w:jc w:val="center"/>
              <w:rPr>
                <w:sz w:val="18"/>
              </w:rPr>
            </w:pPr>
            <w:r w:rsidRPr="008A542C">
              <w:rPr>
                <w:sz w:val="18"/>
              </w:rPr>
              <w:t>320,000,000</w:t>
            </w:r>
          </w:p>
        </w:tc>
        <w:tc>
          <w:tcPr>
            <w:tcW w:w="2206" w:type="dxa"/>
          </w:tcPr>
          <w:p w14:paraId="5880C08F" w14:textId="77777777" w:rsidR="008A542C" w:rsidRPr="008A542C" w:rsidRDefault="008A542C" w:rsidP="008A542C">
            <w:pPr>
              <w:jc w:val="center"/>
              <w:rPr>
                <w:sz w:val="18"/>
              </w:rPr>
            </w:pPr>
            <w:r w:rsidRPr="008A542C">
              <w:rPr>
                <w:sz w:val="18"/>
              </w:rPr>
              <w:t>6,400,000</w:t>
            </w:r>
          </w:p>
        </w:tc>
      </w:tr>
    </w:tbl>
    <w:p w14:paraId="5C0A737F" w14:textId="77777777" w:rsidR="00561279" w:rsidRPr="004065F8" w:rsidRDefault="00561279" w:rsidP="00561279">
      <w:pPr>
        <w:pStyle w:val="BlankLine"/>
      </w:pPr>
    </w:p>
    <w:p w14:paraId="17FDB51E" w14:textId="77777777" w:rsidR="00561279" w:rsidRPr="004065F8" w:rsidRDefault="00561279" w:rsidP="00561279">
      <w:pPr>
        <w:pStyle w:val="SubsectionParagraph"/>
      </w:pPr>
      <w:r w:rsidRPr="004065F8">
        <w:t>If the lump sum amount bid for Mobilization exceeds the total shown in Table 624.02-1 for partial payments, the Department will pay the excess upon completion of the project.</w:t>
      </w:r>
    </w:p>
    <w:p w14:paraId="7B19FB8A" w14:textId="77777777" w:rsidR="00561279" w:rsidRPr="004065F8" w:rsidRDefault="00561279" w:rsidP="00561279">
      <w:pPr>
        <w:pStyle w:val="SubsectionParagraph"/>
      </w:pPr>
      <w:r w:rsidRPr="004065F8">
        <w:rPr>
          <w:rStyle w:val="SubsectionTitle"/>
        </w:rPr>
        <w:t>624.03</w:t>
      </w:r>
      <w:r w:rsidRPr="004065F8">
        <w:rPr>
          <w:rStyle w:val="SubsectionTitle"/>
        </w:rPr>
        <w:tab/>
        <w:t>Method of Measurement.</w:t>
      </w:r>
      <w:r>
        <w:t xml:space="preserve"> </w:t>
      </w:r>
      <w:r w:rsidRPr="004065F8">
        <w:t>The Department will measure Mobilization as a unit, acceptably performed.</w:t>
      </w:r>
    </w:p>
    <w:p w14:paraId="2ED3CD74" w14:textId="77777777" w:rsidR="00561279" w:rsidRPr="004065F8" w:rsidRDefault="00561279" w:rsidP="00561279">
      <w:pPr>
        <w:pStyle w:val="SubsectionParagraph"/>
      </w:pPr>
      <w:r w:rsidRPr="004065F8">
        <w:rPr>
          <w:rStyle w:val="SubsectionTitle"/>
        </w:rPr>
        <w:t>624.04</w:t>
      </w:r>
      <w:r w:rsidRPr="004065F8">
        <w:rPr>
          <w:rStyle w:val="SubsectionTitle"/>
        </w:rPr>
        <w:tab/>
        <w:t>Basis of Payment.</w:t>
      </w:r>
      <w:r>
        <w:t xml:space="preserve"> </w:t>
      </w:r>
      <w:r w:rsidRPr="004065F8">
        <w:t>The Department will make partial payments according to 109.09 and as modified by the following schedule:</w:t>
      </w:r>
    </w:p>
    <w:p w14:paraId="0E7D9969" w14:textId="77777777" w:rsidR="00561279" w:rsidRPr="004065F8" w:rsidRDefault="00561279" w:rsidP="00561279">
      <w:pPr>
        <w:pStyle w:val="1Indent1Paragraph"/>
      </w:pPr>
      <w:r w:rsidRPr="00046ED0">
        <w:rPr>
          <w:b/>
        </w:rPr>
        <w:lastRenderedPageBreak/>
        <w:t>A</w:t>
      </w:r>
      <w:r w:rsidRPr="004065F8">
        <w:t>.</w:t>
      </w:r>
      <w:r w:rsidRPr="004065F8">
        <w:tab/>
        <w:t>The Department will release 50 percent of the lump sum amount bid for Mobilization or 50 percent of the amount shown in 624.02, whichever is less, to the Contractor with the first estimate payable, but not sooner than 15 days after the start of work at the project site.</w:t>
      </w:r>
    </w:p>
    <w:p w14:paraId="03730274" w14:textId="77777777" w:rsidR="00561279" w:rsidRPr="004065F8" w:rsidRDefault="00561279" w:rsidP="00561279">
      <w:pPr>
        <w:pStyle w:val="1Indent1Paragraph"/>
      </w:pPr>
      <w:r w:rsidRPr="00046ED0">
        <w:rPr>
          <w:b/>
        </w:rPr>
        <w:t>B</w:t>
      </w:r>
      <w:r w:rsidRPr="004065F8">
        <w:t>.</w:t>
      </w:r>
      <w:r w:rsidRPr="004065F8">
        <w:tab/>
        <w:t>The Department will release an additional 40 percent of the lump sum amount bid for Mobilization or 40 percent of the amount shown in 624.02, whichever is less, with the first regular estimate after 10 percent of the original total contract amount, including payments for delivered materials but excluding Mobilization, is earned.</w:t>
      </w:r>
    </w:p>
    <w:p w14:paraId="6E31BD2E" w14:textId="77777777" w:rsidR="00561279" w:rsidRPr="004065F8" w:rsidRDefault="00561279" w:rsidP="00561279">
      <w:pPr>
        <w:pStyle w:val="1Indent1Paragraph"/>
      </w:pPr>
      <w:r w:rsidRPr="00046ED0">
        <w:rPr>
          <w:b/>
        </w:rPr>
        <w:t>C</w:t>
      </w:r>
      <w:r w:rsidRPr="004065F8">
        <w:t>.</w:t>
      </w:r>
      <w:r w:rsidRPr="004065F8">
        <w:tab/>
        <w:t xml:space="preserve">Upon completion of all work on the project, including final cleanup, the Department will release payment of the remaining 10 percent of the lump sum amount bid for Mobilization and any amount of the lump sum price bid for Mobilization, </w:t>
      </w:r>
      <w:proofErr w:type="gramStart"/>
      <w:r w:rsidRPr="004065F8">
        <w:t>in excess of</w:t>
      </w:r>
      <w:proofErr w:type="gramEnd"/>
      <w:r w:rsidRPr="004065F8">
        <w:t xml:space="preserve"> the total amount shown in 624.02 for partial payment.</w:t>
      </w:r>
      <w:r>
        <w:t xml:space="preserve"> </w:t>
      </w:r>
      <w:r w:rsidRPr="004065F8">
        <w:t>Final cleanup includes but is not limited to the removal of construction layout stakes</w:t>
      </w:r>
      <w:r w:rsidRPr="004065F8" w:rsidDel="00276BFC">
        <w:t xml:space="preserve"> </w:t>
      </w:r>
      <w:r w:rsidRPr="004065F8">
        <w:t>and sediment and erosion control items.</w:t>
      </w:r>
    </w:p>
    <w:p w14:paraId="053391E3" w14:textId="77777777" w:rsidR="00561279" w:rsidRPr="004065F8" w:rsidRDefault="00561279" w:rsidP="00561279">
      <w:pPr>
        <w:pStyle w:val="SubsectionParagraph"/>
      </w:pPr>
      <w:r w:rsidRPr="004065F8">
        <w:t>The Department will pay for accepted quantities at the contract price as follows:</w:t>
      </w:r>
    </w:p>
    <w:p w14:paraId="267074D4" w14:textId="77777777" w:rsidR="00561279" w:rsidRPr="004065F8" w:rsidRDefault="00561279" w:rsidP="00561279">
      <w:pPr>
        <w:pStyle w:val="PayItemPayUnitTitle"/>
      </w:pPr>
      <w:r w:rsidRPr="004065F8">
        <w:t>Item</w:t>
      </w:r>
      <w:r w:rsidRPr="004065F8">
        <w:tab/>
        <w:t>Unit</w:t>
      </w:r>
      <w:r w:rsidRPr="004065F8">
        <w:tab/>
        <w:t>Description</w:t>
      </w:r>
    </w:p>
    <w:p w14:paraId="433EA7CE" w14:textId="77777777" w:rsidR="00561279" w:rsidRPr="004E086E" w:rsidRDefault="00561279" w:rsidP="00561279">
      <w:pPr>
        <w:pStyle w:val="PayItemPayUnit"/>
      </w:pPr>
      <w:r w:rsidRPr="004065F8">
        <w:t>624</w:t>
      </w:r>
      <w:r w:rsidRPr="004065F8">
        <w:tab/>
        <w:t>Lump Sum</w:t>
      </w:r>
      <w:r w:rsidRPr="004065F8">
        <w:tab/>
        <w:t>Mobilization</w:t>
      </w:r>
    </w:p>
    <w:p w14:paraId="55B86BEB" w14:textId="77777777" w:rsidR="00183400" w:rsidRPr="008542B2" w:rsidRDefault="00183400" w:rsidP="008542B2">
      <w:pPr>
        <w:rPr>
          <w:szCs w:val="18"/>
        </w:rPr>
      </w:pPr>
    </w:p>
    <w:sectPr w:rsidR="00183400" w:rsidRPr="008542B2" w:rsidSect="00161D93">
      <w:footerReference w:type="even" r:id="rId7"/>
      <w:pgSz w:w="6480" w:h="11160" w:code="1"/>
      <w:pgMar w:top="1008" w:right="720" w:bottom="864"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07DF" w14:textId="77777777" w:rsidR="00DE416B" w:rsidRDefault="009F264B">
      <w:r>
        <w:separator/>
      </w:r>
    </w:p>
  </w:endnote>
  <w:endnote w:type="continuationSeparator" w:id="0">
    <w:p w14:paraId="150F0B37" w14:textId="77777777" w:rsidR="00DE416B" w:rsidRDefault="009F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FE55" w14:textId="77777777" w:rsidR="00183400" w:rsidRDefault="001834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5F2BF" w14:textId="77777777" w:rsidR="00183400" w:rsidRDefault="00183400">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0E74C" w14:textId="77777777" w:rsidR="00DE416B" w:rsidRDefault="009F264B">
      <w:r>
        <w:separator/>
      </w:r>
    </w:p>
  </w:footnote>
  <w:footnote w:type="continuationSeparator" w:id="0">
    <w:p w14:paraId="3F07CC49" w14:textId="77777777" w:rsidR="00DE416B" w:rsidRDefault="009F2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27EAA"/>
    <w:multiLevelType w:val="multilevel"/>
    <w:tmpl w:val="115EA934"/>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 w15:restartNumberingAfterBreak="0">
    <w:nsid w:val="34904101"/>
    <w:multiLevelType w:val="multilevel"/>
    <w:tmpl w:val="B994D7D8"/>
    <w:name w:val="Items22"/>
    <w:lvl w:ilvl="0">
      <w:start w:val="1"/>
      <w:numFmt w:val="decimal"/>
      <w:lvlText w:val="%1."/>
      <w:lvlJc w:val="right"/>
      <w:pPr>
        <w:tabs>
          <w:tab w:val="num" w:pos="576"/>
        </w:tabs>
        <w:ind w:left="576" w:hanging="72"/>
      </w:pPr>
    </w:lvl>
    <w:lvl w:ilvl="1">
      <w:start w:val="1"/>
      <w:numFmt w:val="decimal"/>
      <w:lvlText w:val="%1.%2."/>
      <w:lvlJc w:val="right"/>
      <w:pPr>
        <w:tabs>
          <w:tab w:val="num" w:pos="1152"/>
        </w:tabs>
        <w:ind w:left="1152" w:hanging="72"/>
      </w:pPr>
    </w:lvl>
    <w:lvl w:ilvl="2">
      <w:start w:val="1"/>
      <w:numFmt w:val="decimal"/>
      <w:lvlText w:val="%1.%2.%3."/>
      <w:lvlJc w:val="right"/>
      <w:pPr>
        <w:tabs>
          <w:tab w:val="num" w:pos="1728"/>
        </w:tabs>
        <w:ind w:left="1728" w:hanging="72"/>
      </w:pPr>
    </w:lvl>
    <w:lvl w:ilvl="3">
      <w:start w:val="1"/>
      <w:numFmt w:val="decimal"/>
      <w:lvlText w:val="%1.%2.%3.%4."/>
      <w:lvlJc w:val="right"/>
      <w:pPr>
        <w:tabs>
          <w:tab w:val="num" w:pos="2592"/>
        </w:tabs>
        <w:ind w:left="2592" w:hanging="72"/>
      </w:pPr>
    </w:lvl>
    <w:lvl w:ilvl="4">
      <w:start w:val="1"/>
      <w:numFmt w:val="none"/>
      <w:lvlText w:val=""/>
      <w:lvlJc w:val="right"/>
      <w:pPr>
        <w:tabs>
          <w:tab w:val="num" w:pos="360"/>
        </w:tabs>
        <w:ind w:left="0" w:firstLine="0"/>
      </w:pPr>
    </w:lvl>
    <w:lvl w:ilvl="5">
      <w:start w:val="1"/>
      <w:numFmt w:val="none"/>
      <w:lvlText w:val=""/>
      <w:lvlJc w:val="right"/>
      <w:pPr>
        <w:tabs>
          <w:tab w:val="num" w:pos="360"/>
        </w:tabs>
        <w:ind w:left="0" w:firstLine="0"/>
      </w:pPr>
    </w:lvl>
    <w:lvl w:ilvl="6">
      <w:start w:val="1"/>
      <w:numFmt w:val="none"/>
      <w:lvlText w:val="%7"/>
      <w:lvlJc w:val="right"/>
      <w:pPr>
        <w:tabs>
          <w:tab w:val="num" w:pos="360"/>
        </w:tabs>
        <w:ind w:left="0" w:firstLine="0"/>
      </w:pPr>
    </w:lvl>
    <w:lvl w:ilvl="7">
      <w:start w:val="1"/>
      <w:numFmt w:val="none"/>
      <w:lvlText w:val=""/>
      <w:lvlJc w:val="right"/>
      <w:pPr>
        <w:tabs>
          <w:tab w:val="num" w:pos="360"/>
        </w:tabs>
        <w:ind w:left="0" w:firstLine="0"/>
      </w:pPr>
    </w:lvl>
    <w:lvl w:ilvl="8">
      <w:start w:val="1"/>
      <w:numFmt w:val="none"/>
      <w:lvlText w:val=""/>
      <w:lvlJc w:val="right"/>
      <w:pPr>
        <w:tabs>
          <w:tab w:val="num" w:pos="360"/>
        </w:tabs>
        <w:ind w:left="0" w:firstLine="0"/>
      </w:pPr>
    </w:lvl>
  </w:abstractNum>
  <w:abstractNum w:abstractNumId="2" w15:restartNumberingAfterBreak="0">
    <w:nsid w:val="3BD940E3"/>
    <w:multiLevelType w:val="multilevel"/>
    <w:tmpl w:val="2396BD4C"/>
    <w:name w:val="Items"/>
    <w:lvl w:ilvl="0">
      <w:start w:val="1"/>
      <w:numFmt w:val="decimal"/>
      <w:lvlText w:val="%1."/>
      <w:lvlJc w:val="right"/>
      <w:pPr>
        <w:tabs>
          <w:tab w:val="num" w:pos="576"/>
        </w:tabs>
        <w:ind w:left="576" w:hanging="72"/>
      </w:pPr>
    </w:lvl>
    <w:lvl w:ilvl="1">
      <w:start w:val="1"/>
      <w:numFmt w:val="decimal"/>
      <w:lvlText w:val="%1.%2."/>
      <w:lvlJc w:val="right"/>
      <w:pPr>
        <w:tabs>
          <w:tab w:val="num" w:pos="1152"/>
        </w:tabs>
        <w:ind w:left="1152" w:hanging="72"/>
      </w:pPr>
    </w:lvl>
    <w:lvl w:ilvl="2">
      <w:start w:val="1"/>
      <w:numFmt w:val="decimal"/>
      <w:lvlText w:val="%1.%2.%3."/>
      <w:lvlJc w:val="right"/>
      <w:pPr>
        <w:tabs>
          <w:tab w:val="num" w:pos="1728"/>
        </w:tabs>
        <w:ind w:left="1728" w:hanging="72"/>
      </w:pPr>
    </w:lvl>
    <w:lvl w:ilvl="3">
      <w:start w:val="1"/>
      <w:numFmt w:val="decimal"/>
      <w:lvlText w:val="%1.%2.%3.%4."/>
      <w:lvlJc w:val="right"/>
      <w:pPr>
        <w:tabs>
          <w:tab w:val="num" w:pos="2592"/>
        </w:tabs>
        <w:ind w:left="2592" w:hanging="72"/>
      </w:pPr>
    </w:lvl>
    <w:lvl w:ilvl="4">
      <w:start w:val="1"/>
      <w:numFmt w:val="decimal"/>
      <w:lvlText w:val="%1.%2.%3.%4.%5."/>
      <w:lvlJc w:val="right"/>
      <w:pPr>
        <w:tabs>
          <w:tab w:val="num" w:pos="360"/>
        </w:tabs>
        <w:ind w:left="0" w:firstLine="0"/>
      </w:pPr>
    </w:lvl>
    <w:lvl w:ilvl="5">
      <w:start w:val="1"/>
      <w:numFmt w:val="decimal"/>
      <w:lvlText w:val="%1.%2.%3.%4.%5.%6."/>
      <w:lvlJc w:val="right"/>
      <w:pPr>
        <w:tabs>
          <w:tab w:val="num" w:pos="360"/>
        </w:tabs>
        <w:ind w:left="0" w:firstLine="0"/>
      </w:pPr>
    </w:lvl>
    <w:lvl w:ilvl="6">
      <w:start w:val="1"/>
      <w:numFmt w:val="decimal"/>
      <w:lvlText w:val="%1.%2.%3.%4.%5.%6.%7."/>
      <w:lvlJc w:val="right"/>
      <w:pPr>
        <w:tabs>
          <w:tab w:val="num" w:pos="360"/>
        </w:tabs>
        <w:ind w:left="0" w:firstLine="0"/>
      </w:pPr>
    </w:lvl>
    <w:lvl w:ilvl="7">
      <w:start w:val="1"/>
      <w:numFmt w:val="decimal"/>
      <w:lvlText w:val="%1.%2.%3.%4.%5.%6.%7.%8."/>
      <w:lvlJc w:val="right"/>
      <w:pPr>
        <w:tabs>
          <w:tab w:val="num" w:pos="360"/>
        </w:tabs>
        <w:ind w:left="0" w:firstLine="0"/>
      </w:pPr>
    </w:lvl>
    <w:lvl w:ilvl="8">
      <w:start w:val="1"/>
      <w:numFmt w:val="decimal"/>
      <w:lvlText w:val="%1.%2.%3.%4.%5.%6.%7.%8.%9."/>
      <w:lvlJc w:val="right"/>
      <w:pPr>
        <w:tabs>
          <w:tab w:val="num" w:pos="360"/>
        </w:tabs>
        <w:ind w:left="0" w:firstLine="0"/>
      </w:pPr>
    </w:lvl>
  </w:abstractNum>
  <w:abstractNum w:abstractNumId="3" w15:restartNumberingAfterBreak="0">
    <w:nsid w:val="5A3E5283"/>
    <w:multiLevelType w:val="multilevel"/>
    <w:tmpl w:val="B98E2210"/>
    <w:name w:val="Subsections"/>
    <w:lvl w:ilvl="0">
      <w:start w:val="101"/>
      <w:numFmt w:val="decimal"/>
      <w:suff w:val="space"/>
      <w:lvlText w:val="SECTION %1 "/>
      <w:lvlJc w:val="left"/>
      <w:pPr>
        <w:ind w:left="0" w:firstLine="0"/>
      </w:pPr>
      <w:rPr>
        <w:b/>
        <w:i w:val="0"/>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4" w15:restartNumberingAfterBreak="0">
    <w:nsid w:val="72631F9F"/>
    <w:multiLevelType w:val="multilevel"/>
    <w:tmpl w:val="A8AA25C6"/>
    <w:name w:val="Items2"/>
    <w:lvl w:ilvl="0">
      <w:start w:val="1"/>
      <w:numFmt w:val="decimal"/>
      <w:lvlText w:val="%1."/>
      <w:lvlJc w:val="right"/>
      <w:pPr>
        <w:tabs>
          <w:tab w:val="num" w:pos="576"/>
        </w:tabs>
        <w:ind w:left="576" w:hanging="72"/>
      </w:pPr>
    </w:lvl>
    <w:lvl w:ilvl="1">
      <w:start w:val="1"/>
      <w:numFmt w:val="decimal"/>
      <w:lvlText w:val="%1.%2."/>
      <w:lvlJc w:val="right"/>
      <w:pPr>
        <w:tabs>
          <w:tab w:val="num" w:pos="1152"/>
        </w:tabs>
        <w:ind w:left="1152" w:hanging="72"/>
      </w:pPr>
    </w:lvl>
    <w:lvl w:ilvl="2">
      <w:start w:val="1"/>
      <w:numFmt w:val="decimal"/>
      <w:lvlText w:val="%1.%2.%3."/>
      <w:lvlJc w:val="right"/>
      <w:pPr>
        <w:tabs>
          <w:tab w:val="num" w:pos="1728"/>
        </w:tabs>
        <w:ind w:left="1728" w:hanging="72"/>
      </w:pPr>
    </w:lvl>
    <w:lvl w:ilvl="3">
      <w:start w:val="1"/>
      <w:numFmt w:val="decimal"/>
      <w:lvlText w:val="%1.%2.%3.%4."/>
      <w:lvlJc w:val="right"/>
      <w:pPr>
        <w:tabs>
          <w:tab w:val="num" w:pos="2592"/>
        </w:tabs>
        <w:ind w:left="2592" w:hanging="72"/>
      </w:pPr>
    </w:lvl>
    <w:lvl w:ilvl="4">
      <w:start w:val="1"/>
      <w:numFmt w:val="none"/>
      <w:lvlText w:val=""/>
      <w:lvlJc w:val="right"/>
      <w:pPr>
        <w:tabs>
          <w:tab w:val="num" w:pos="360"/>
        </w:tabs>
        <w:ind w:left="0" w:firstLine="0"/>
      </w:pPr>
    </w:lvl>
    <w:lvl w:ilvl="5">
      <w:start w:val="1"/>
      <w:numFmt w:val="none"/>
      <w:lvlText w:val=""/>
      <w:lvlJc w:val="right"/>
      <w:pPr>
        <w:tabs>
          <w:tab w:val="num" w:pos="360"/>
        </w:tabs>
        <w:ind w:left="0" w:firstLine="0"/>
      </w:pPr>
    </w:lvl>
    <w:lvl w:ilvl="6">
      <w:start w:val="1"/>
      <w:numFmt w:val="none"/>
      <w:lvlText w:val="%7"/>
      <w:lvlJc w:val="right"/>
      <w:pPr>
        <w:tabs>
          <w:tab w:val="num" w:pos="360"/>
        </w:tabs>
        <w:ind w:left="0" w:firstLine="0"/>
      </w:pPr>
    </w:lvl>
    <w:lvl w:ilvl="7">
      <w:start w:val="1"/>
      <w:numFmt w:val="none"/>
      <w:lvlText w:val=""/>
      <w:lvlJc w:val="right"/>
      <w:pPr>
        <w:tabs>
          <w:tab w:val="num" w:pos="360"/>
        </w:tabs>
        <w:ind w:left="0" w:firstLine="0"/>
      </w:pPr>
    </w:lvl>
    <w:lvl w:ilvl="8">
      <w:start w:val="1"/>
      <w:numFmt w:val="none"/>
      <w:lvlText w:val=""/>
      <w:lvlJc w:val="right"/>
      <w:pPr>
        <w:tabs>
          <w:tab w:val="num" w:pos="360"/>
        </w:tabs>
        <w:ind w:left="0" w:firstLine="0"/>
      </w:pPr>
    </w:lvl>
  </w:abstractNum>
  <w:num w:numId="1" w16cid:durableId="22093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A4"/>
    <w:rsid w:val="00012E8E"/>
    <w:rsid w:val="0001634E"/>
    <w:rsid w:val="00083639"/>
    <w:rsid w:val="000A2126"/>
    <w:rsid w:val="000E2CA5"/>
    <w:rsid w:val="000F7913"/>
    <w:rsid w:val="00161D93"/>
    <w:rsid w:val="00167252"/>
    <w:rsid w:val="00183400"/>
    <w:rsid w:val="00193EBA"/>
    <w:rsid w:val="001B11C3"/>
    <w:rsid w:val="001D2132"/>
    <w:rsid w:val="002038E1"/>
    <w:rsid w:val="00233B7D"/>
    <w:rsid w:val="00263708"/>
    <w:rsid w:val="00274162"/>
    <w:rsid w:val="002D0A0A"/>
    <w:rsid w:val="002F76C8"/>
    <w:rsid w:val="0031274D"/>
    <w:rsid w:val="00317B96"/>
    <w:rsid w:val="00322065"/>
    <w:rsid w:val="00325DB8"/>
    <w:rsid w:val="00364A53"/>
    <w:rsid w:val="003A6B27"/>
    <w:rsid w:val="0041714B"/>
    <w:rsid w:val="0044388B"/>
    <w:rsid w:val="004518FB"/>
    <w:rsid w:val="00453C97"/>
    <w:rsid w:val="00456EF6"/>
    <w:rsid w:val="004778FC"/>
    <w:rsid w:val="0049736E"/>
    <w:rsid w:val="004A3E89"/>
    <w:rsid w:val="004C0DF1"/>
    <w:rsid w:val="004C420B"/>
    <w:rsid w:val="004D00FE"/>
    <w:rsid w:val="004D7564"/>
    <w:rsid w:val="004E5321"/>
    <w:rsid w:val="004F4CE3"/>
    <w:rsid w:val="004F70F6"/>
    <w:rsid w:val="00500585"/>
    <w:rsid w:val="005348C7"/>
    <w:rsid w:val="00537356"/>
    <w:rsid w:val="00561279"/>
    <w:rsid w:val="005636B9"/>
    <w:rsid w:val="00593B69"/>
    <w:rsid w:val="005A3BA4"/>
    <w:rsid w:val="005B15B7"/>
    <w:rsid w:val="00644F6E"/>
    <w:rsid w:val="006703B8"/>
    <w:rsid w:val="006B1688"/>
    <w:rsid w:val="006C2802"/>
    <w:rsid w:val="006D1B1D"/>
    <w:rsid w:val="006D456A"/>
    <w:rsid w:val="006F2FB3"/>
    <w:rsid w:val="00771D9F"/>
    <w:rsid w:val="00784C4E"/>
    <w:rsid w:val="007A6749"/>
    <w:rsid w:val="007B2E1B"/>
    <w:rsid w:val="007C629F"/>
    <w:rsid w:val="007C7448"/>
    <w:rsid w:val="007D34D1"/>
    <w:rsid w:val="007F7502"/>
    <w:rsid w:val="00803B5C"/>
    <w:rsid w:val="00824AE7"/>
    <w:rsid w:val="00851747"/>
    <w:rsid w:val="008533EC"/>
    <w:rsid w:val="008542B2"/>
    <w:rsid w:val="008707F5"/>
    <w:rsid w:val="00886353"/>
    <w:rsid w:val="0089567F"/>
    <w:rsid w:val="008A542C"/>
    <w:rsid w:val="008D1293"/>
    <w:rsid w:val="0092745F"/>
    <w:rsid w:val="00936216"/>
    <w:rsid w:val="00955BF6"/>
    <w:rsid w:val="00964D8D"/>
    <w:rsid w:val="009728D7"/>
    <w:rsid w:val="009A51B3"/>
    <w:rsid w:val="009C1C13"/>
    <w:rsid w:val="009D05CE"/>
    <w:rsid w:val="009D6D6F"/>
    <w:rsid w:val="009F264B"/>
    <w:rsid w:val="00AC5B35"/>
    <w:rsid w:val="00AF3AA4"/>
    <w:rsid w:val="00B17500"/>
    <w:rsid w:val="00B22E4F"/>
    <w:rsid w:val="00B25A63"/>
    <w:rsid w:val="00B475BA"/>
    <w:rsid w:val="00BC5FA1"/>
    <w:rsid w:val="00C278A2"/>
    <w:rsid w:val="00C425B5"/>
    <w:rsid w:val="00C521C2"/>
    <w:rsid w:val="00C875DB"/>
    <w:rsid w:val="00CB3FBB"/>
    <w:rsid w:val="00CD256B"/>
    <w:rsid w:val="00CD4463"/>
    <w:rsid w:val="00CD4F7C"/>
    <w:rsid w:val="00CD6B5C"/>
    <w:rsid w:val="00CF0156"/>
    <w:rsid w:val="00D035C9"/>
    <w:rsid w:val="00D046F2"/>
    <w:rsid w:val="00D3195F"/>
    <w:rsid w:val="00D50726"/>
    <w:rsid w:val="00D73D68"/>
    <w:rsid w:val="00D82C1D"/>
    <w:rsid w:val="00DA7F4C"/>
    <w:rsid w:val="00DB1E3D"/>
    <w:rsid w:val="00DB4D1F"/>
    <w:rsid w:val="00DD712E"/>
    <w:rsid w:val="00DD720D"/>
    <w:rsid w:val="00DD7270"/>
    <w:rsid w:val="00DE416B"/>
    <w:rsid w:val="00E01833"/>
    <w:rsid w:val="00E17028"/>
    <w:rsid w:val="00E96967"/>
    <w:rsid w:val="00EA31FF"/>
    <w:rsid w:val="00EB61B3"/>
    <w:rsid w:val="00F26227"/>
    <w:rsid w:val="00F3324E"/>
    <w:rsid w:val="00F50CC8"/>
    <w:rsid w:val="00FB1727"/>
    <w:rsid w:val="00FF3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2DF66"/>
  <w15:chartTrackingRefBased/>
  <w15:docId w15:val="{F6B95C9D-86C3-4DFA-9C3F-D95CEFC4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bCs/>
      <w:sz w:val="1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numPr>
        <w:ilvl w:val="2"/>
        <w:numId w:val="1"/>
      </w:numPr>
      <w:tabs>
        <w:tab w:val="clear" w:pos="720"/>
      </w:tabs>
      <w:spacing w:after="120"/>
      <w:ind w:left="0" w:firstLine="0"/>
      <w:outlineLvl w:val="2"/>
    </w:pPr>
    <w:rPr>
      <w:rFonts w:ascii="Arial" w:hAnsi="Arial"/>
      <w:b/>
    </w:rPr>
  </w:style>
  <w:style w:type="paragraph" w:styleId="Heading4">
    <w:name w:val="heading 4"/>
    <w:basedOn w:val="Normal"/>
    <w:next w:val="Normal"/>
    <w:qFormat/>
    <w:pPr>
      <w:numPr>
        <w:ilvl w:val="3"/>
        <w:numId w:val="1"/>
      </w:numPr>
      <w:tabs>
        <w:tab w:val="clear" w:pos="864"/>
      </w:tabs>
      <w:spacing w:after="120"/>
      <w:ind w:left="0" w:firstLine="0"/>
      <w:outlineLvl w:val="3"/>
    </w:pPr>
    <w:rPr>
      <w:rFonts w:ascii="Arial" w:hAnsi="Arial"/>
      <w:b/>
    </w:rPr>
  </w:style>
  <w:style w:type="paragraph" w:styleId="Heading5">
    <w:name w:val="heading 5"/>
    <w:basedOn w:val="Normal"/>
    <w:next w:val="Normal"/>
    <w:qFormat/>
    <w:pPr>
      <w:numPr>
        <w:ilvl w:val="4"/>
        <w:numId w:val="1"/>
      </w:numPr>
      <w:tabs>
        <w:tab w:val="clear" w:pos="1008"/>
      </w:tabs>
      <w:spacing w:after="120"/>
      <w:ind w:left="0" w:firstLine="0"/>
      <w:outlineLvl w:val="4"/>
    </w:pPr>
    <w:rPr>
      <w:rFonts w:ascii="Arial" w:hAnsi="Arial"/>
      <w:b/>
    </w:rPr>
  </w:style>
  <w:style w:type="paragraph" w:styleId="Heading6">
    <w:name w:val="heading 6"/>
    <w:basedOn w:val="Normal"/>
    <w:next w:val="Normal"/>
    <w:qFormat/>
    <w:pPr>
      <w:numPr>
        <w:ilvl w:val="5"/>
        <w:numId w:val="1"/>
      </w:numPr>
      <w:tabs>
        <w:tab w:val="clear" w:pos="1152"/>
      </w:tabs>
      <w:spacing w:after="120"/>
      <w:ind w:left="0" w:firstLine="0"/>
      <w:outlineLvl w:val="5"/>
    </w:pPr>
    <w:rPr>
      <w:rFonts w:ascii="Arial" w:hAnsi="Arial"/>
      <w:b/>
    </w:rPr>
  </w:style>
  <w:style w:type="paragraph" w:styleId="Heading7">
    <w:name w:val="heading 7"/>
    <w:basedOn w:val="Normal"/>
    <w:next w:val="Normal"/>
    <w:qFormat/>
    <w:pPr>
      <w:numPr>
        <w:ilvl w:val="6"/>
        <w:numId w:val="1"/>
      </w:numPr>
      <w:tabs>
        <w:tab w:val="clear" w:pos="1296"/>
      </w:tabs>
      <w:spacing w:after="120"/>
      <w:ind w:left="0" w:firstLine="0"/>
      <w:outlineLvl w:val="6"/>
    </w:pPr>
    <w:rPr>
      <w:rFonts w:ascii="Arial" w:hAnsi="Arial"/>
      <w:b/>
    </w:rPr>
  </w:style>
  <w:style w:type="paragraph" w:styleId="Heading8">
    <w:name w:val="heading 8"/>
    <w:basedOn w:val="Normal"/>
    <w:next w:val="Normal"/>
    <w:qFormat/>
    <w:pPr>
      <w:numPr>
        <w:ilvl w:val="7"/>
        <w:numId w:val="1"/>
      </w:numPr>
      <w:tabs>
        <w:tab w:val="clear" w:pos="1440"/>
      </w:tabs>
      <w:spacing w:after="120"/>
      <w:ind w:left="0" w:firstLine="0"/>
      <w:outlineLvl w:val="7"/>
    </w:pPr>
    <w:rPr>
      <w:rFonts w:ascii="Arial" w:hAnsi="Arial"/>
      <w:b/>
    </w:rPr>
  </w:style>
  <w:style w:type="paragraph" w:styleId="Heading9">
    <w:name w:val="heading 9"/>
    <w:basedOn w:val="Normal"/>
    <w:next w:val="Normal"/>
    <w:qFormat/>
    <w:pPr>
      <w:numPr>
        <w:ilvl w:val="8"/>
        <w:numId w:val="1"/>
      </w:numPr>
      <w:tabs>
        <w:tab w:val="clear" w:pos="1584"/>
      </w:tabs>
      <w:spacing w:after="120"/>
      <w:ind w:left="0" w:firstLine="0"/>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aps/>
      <w:color w:val="auto"/>
      <w:u w:val="none"/>
    </w:rPr>
  </w:style>
  <w:style w:type="paragraph" w:styleId="TOC1">
    <w:name w:val="toc 1"/>
    <w:basedOn w:val="Normal"/>
    <w:next w:val="Normal"/>
    <w:autoRedefine/>
    <w:semiHidden/>
    <w:pPr>
      <w:tabs>
        <w:tab w:val="right" w:pos="5040"/>
      </w:tabs>
    </w:pPr>
    <w:rPr>
      <w:rFonts w:ascii="Times" w:hAnsi="Times"/>
      <w:caps/>
      <w:noProof/>
    </w:rPr>
  </w:style>
  <w:style w:type="paragraph" w:styleId="TOC2">
    <w:name w:val="toc 2"/>
    <w:basedOn w:val="Normal"/>
    <w:next w:val="Normal"/>
    <w:autoRedefine/>
    <w:semiHidden/>
    <w:pPr>
      <w:tabs>
        <w:tab w:val="right" w:leader="dot" w:pos="5040"/>
      </w:tabs>
      <w:ind w:left="1080" w:hanging="720"/>
    </w:pPr>
    <w:rPr>
      <w:rFonts w:ascii="Times" w:hAnsi="Times"/>
      <w:caps/>
      <w:noProof/>
      <w:sz w:val="18"/>
    </w:rPr>
  </w:style>
  <w:style w:type="paragraph" w:customStyle="1" w:styleId="Division">
    <w:name w:val="Division"/>
    <w:basedOn w:val="ODOTSpecs"/>
    <w:pPr>
      <w:keepNext/>
      <w:tabs>
        <w:tab w:val="clear" w:pos="432"/>
        <w:tab w:val="clear" w:pos="864"/>
        <w:tab w:val="clear" w:pos="1296"/>
        <w:tab w:val="clear" w:pos="1728"/>
        <w:tab w:val="clear" w:pos="2160"/>
        <w:tab w:val="clear" w:pos="2592"/>
        <w:tab w:val="clear" w:pos="3024"/>
        <w:tab w:val="clear" w:pos="3456"/>
        <w:tab w:val="clear" w:pos="3888"/>
        <w:tab w:val="clear" w:pos="4320"/>
        <w:tab w:val="clear" w:pos="4752"/>
      </w:tabs>
      <w:spacing w:after="0"/>
      <w:jc w:val="center"/>
    </w:pPr>
    <w:rPr>
      <w:b/>
      <w:caps/>
      <w:sz w:val="24"/>
    </w:rPr>
  </w:style>
  <w:style w:type="paragraph" w:customStyle="1" w:styleId="ODOTSpecs">
    <w:name w:val="ODOT Specs"/>
    <w:pPr>
      <w:tabs>
        <w:tab w:val="left" w:pos="432"/>
        <w:tab w:val="left" w:pos="864"/>
        <w:tab w:val="left" w:pos="1296"/>
        <w:tab w:val="left" w:pos="1728"/>
        <w:tab w:val="left" w:pos="2160"/>
        <w:tab w:val="left" w:pos="2592"/>
        <w:tab w:val="left" w:pos="3024"/>
        <w:tab w:val="left" w:pos="3456"/>
        <w:tab w:val="left" w:pos="3888"/>
        <w:tab w:val="left" w:pos="4320"/>
        <w:tab w:val="left" w:pos="4752"/>
      </w:tabs>
      <w:spacing w:after="100"/>
      <w:jc w:val="both"/>
    </w:pPr>
    <w:rPr>
      <w:sz w:val="19"/>
    </w:rPr>
  </w:style>
  <w:style w:type="paragraph" w:customStyle="1" w:styleId="Section">
    <w:name w:val="Section"/>
    <w:basedOn w:val="ODOTSpecs"/>
    <w:link w:val="SectionChar"/>
    <w:uiPriority w:val="99"/>
    <w:pPr>
      <w:keepNext/>
      <w:tabs>
        <w:tab w:val="clear" w:pos="432"/>
        <w:tab w:val="clear" w:pos="864"/>
        <w:tab w:val="clear" w:pos="1296"/>
        <w:tab w:val="clear" w:pos="1728"/>
        <w:tab w:val="clear" w:pos="2160"/>
        <w:tab w:val="clear" w:pos="2592"/>
        <w:tab w:val="clear" w:pos="3024"/>
        <w:tab w:val="clear" w:pos="3456"/>
        <w:tab w:val="clear" w:pos="3888"/>
        <w:tab w:val="clear" w:pos="4320"/>
        <w:tab w:val="clear" w:pos="4752"/>
      </w:tabs>
      <w:spacing w:before="400"/>
      <w:jc w:val="center"/>
    </w:pPr>
    <w:rPr>
      <w:b/>
      <w:caps/>
      <w:sz w:val="20"/>
    </w:rPr>
  </w:style>
  <w:style w:type="character" w:customStyle="1" w:styleId="SubsectionTitle">
    <w:name w:val="Subsection Title"/>
    <w:rPr>
      <w:b/>
    </w:rPr>
  </w:style>
  <w:style w:type="paragraph" w:customStyle="1" w:styleId="SubsectionParagraph">
    <w:name w:val="Subsection Paragraph"/>
    <w:basedOn w:val="ODOTSpecs"/>
    <w:link w:val="SubsectionParagraphChar"/>
    <w:qFormat/>
    <w:pPr>
      <w:ind w:firstLine="216"/>
    </w:pPr>
  </w:style>
  <w:style w:type="paragraph" w:customStyle="1" w:styleId="Abbreviation">
    <w:name w:val="Abbreviation"/>
    <w:basedOn w:val="ODOTSpecs"/>
    <w:pPr>
      <w:tabs>
        <w:tab w:val="clear" w:pos="432"/>
        <w:tab w:val="clear" w:pos="864"/>
        <w:tab w:val="clear" w:pos="1728"/>
        <w:tab w:val="clear" w:pos="2160"/>
        <w:tab w:val="clear" w:pos="2592"/>
        <w:tab w:val="clear" w:pos="3024"/>
        <w:tab w:val="clear" w:pos="3456"/>
        <w:tab w:val="clear" w:pos="3888"/>
        <w:tab w:val="clear" w:pos="4320"/>
        <w:tab w:val="clear" w:pos="4752"/>
      </w:tabs>
      <w:spacing w:after="0"/>
      <w:ind w:left="1296" w:hanging="1080"/>
      <w:jc w:val="left"/>
    </w:pPr>
    <w:rPr>
      <w:rFonts w:ascii="Times" w:hAnsi="Times"/>
    </w:rPr>
  </w:style>
  <w:style w:type="paragraph" w:customStyle="1" w:styleId="BlankLine">
    <w:name w:val="Blank Line"/>
    <w:basedOn w:val="ODOTSpecs"/>
    <w:uiPriority w:val="99"/>
    <w:pPr>
      <w:spacing w:after="0"/>
    </w:pPr>
    <w:rPr>
      <w:rFonts w:ascii="Times" w:hAnsi="Times"/>
      <w:sz w:val="10"/>
    </w:rPr>
  </w:style>
  <w:style w:type="paragraph" w:customStyle="1" w:styleId="Definition">
    <w:name w:val="Definition"/>
    <w:basedOn w:val="ODOTSpecs"/>
    <w:autoRedefine/>
    <w:pPr>
      <w:tabs>
        <w:tab w:val="left" w:pos="3960"/>
      </w:tabs>
      <w:ind w:firstLine="216"/>
    </w:pPr>
    <w:rPr>
      <w:bCs/>
    </w:rPr>
  </w:style>
  <w:style w:type="paragraph" w:customStyle="1" w:styleId="1Indent1Paragraph">
    <w:name w:val="1 Indent 1 Paragraph"/>
    <w:basedOn w:val="ODOTSpecs"/>
    <w:uiPriority w:val="99"/>
  </w:style>
  <w:style w:type="paragraph" w:customStyle="1" w:styleId="TableTitles">
    <w:name w:val="Table Titles"/>
    <w:basedOn w:val="ODOTSpecs"/>
    <w:pPr>
      <w:keepNext/>
      <w:jc w:val="center"/>
    </w:pPr>
    <w:rPr>
      <w:b/>
      <w:caps/>
    </w:rPr>
  </w:style>
  <w:style w:type="paragraph" w:customStyle="1" w:styleId="TableText">
    <w:name w:val="Table Text"/>
    <w:basedOn w:val="ODOTSpecs"/>
    <w:pPr>
      <w:keepNext/>
      <w:tabs>
        <w:tab w:val="clear" w:pos="432"/>
        <w:tab w:val="clear" w:pos="864"/>
        <w:tab w:val="clear" w:pos="1296"/>
        <w:tab w:val="clear" w:pos="1728"/>
        <w:tab w:val="clear" w:pos="2160"/>
        <w:tab w:val="clear" w:pos="2592"/>
        <w:tab w:val="clear" w:pos="3024"/>
        <w:tab w:val="clear" w:pos="3456"/>
        <w:tab w:val="clear" w:pos="3888"/>
        <w:tab w:val="clear" w:pos="4320"/>
        <w:tab w:val="clear" w:pos="4752"/>
      </w:tabs>
      <w:spacing w:after="0"/>
      <w:ind w:left="144" w:hanging="144"/>
      <w:jc w:val="left"/>
    </w:pPr>
    <w:rPr>
      <w:sz w:val="18"/>
    </w:rPr>
  </w:style>
  <w:style w:type="paragraph" w:customStyle="1" w:styleId="1Indent2Paragraph">
    <w:name w:val="1 Indent 2 Paragraph"/>
    <w:basedOn w:val="ODOTSpecs"/>
    <w:pPr>
      <w:ind w:firstLine="432"/>
    </w:pPr>
  </w:style>
  <w:style w:type="paragraph" w:customStyle="1" w:styleId="2Indent1Paragraph">
    <w:name w:val="2 Indent 1 Paragraph"/>
    <w:basedOn w:val="ODOTSpecs"/>
    <w:pPr>
      <w:ind w:firstLine="432"/>
    </w:pPr>
  </w:style>
  <w:style w:type="paragraph" w:customStyle="1" w:styleId="1IndentList">
    <w:name w:val="1 Indent List"/>
    <w:basedOn w:val="ODOTSpecs"/>
    <w:pPr>
      <w:spacing w:after="0"/>
      <w:ind w:left="1296" w:hanging="432"/>
    </w:pPr>
  </w:style>
  <w:style w:type="paragraph" w:customStyle="1" w:styleId="2Indent2Paragraph">
    <w:name w:val="2 Indent 2 Paragraph"/>
    <w:basedOn w:val="ODOTSpecs"/>
    <w:pPr>
      <w:ind w:firstLine="864"/>
    </w:pPr>
  </w:style>
  <w:style w:type="paragraph" w:customStyle="1" w:styleId="3Indent1Paragraph">
    <w:name w:val="3 Indent 1 Paragraph"/>
    <w:basedOn w:val="ODOTSpecs"/>
    <w:pPr>
      <w:ind w:firstLine="864"/>
    </w:pPr>
  </w:style>
  <w:style w:type="paragraph" w:customStyle="1" w:styleId="4Indent1Paragraph">
    <w:name w:val="4 Indent 1 Paragraph"/>
    <w:basedOn w:val="ODOTSpecs"/>
    <w:pPr>
      <w:ind w:firstLine="1296"/>
    </w:pPr>
  </w:style>
  <w:style w:type="paragraph" w:customStyle="1" w:styleId="3Indent2Paragraph">
    <w:name w:val="3 Indent 2 Paragraph"/>
    <w:basedOn w:val="ODOTSpecs"/>
    <w:pPr>
      <w:ind w:firstLine="1296"/>
    </w:pPr>
  </w:style>
  <w:style w:type="paragraph" w:customStyle="1" w:styleId="SubsectionParagraphList">
    <w:name w:val="Subsection Paragraph List"/>
    <w:basedOn w:val="ODOTSpecs"/>
    <w:uiPriority w:val="99"/>
    <w:pPr>
      <w:tabs>
        <w:tab w:val="left" w:pos="648"/>
        <w:tab w:val="left" w:pos="1080"/>
      </w:tabs>
      <w:spacing w:after="0"/>
      <w:ind w:left="864" w:hanging="648"/>
      <w:jc w:val="left"/>
    </w:pPr>
    <w:rPr>
      <w:rFonts w:ascii="Times" w:hAnsi="Times"/>
      <w:b/>
    </w:rPr>
  </w:style>
  <w:style w:type="paragraph" w:customStyle="1" w:styleId="PayItemPayUnitTitle">
    <w:name w:val="Pay Item/Pay Unit Title"/>
    <w:basedOn w:val="ODOTSpecs"/>
    <w:pPr>
      <w:keepNext/>
      <w:tabs>
        <w:tab w:val="clear" w:pos="432"/>
        <w:tab w:val="clear" w:pos="864"/>
        <w:tab w:val="clear" w:pos="1296"/>
        <w:tab w:val="clear" w:pos="1728"/>
        <w:tab w:val="clear" w:pos="2160"/>
        <w:tab w:val="clear" w:pos="2592"/>
        <w:tab w:val="clear" w:pos="3024"/>
        <w:tab w:val="clear" w:pos="3456"/>
        <w:tab w:val="clear" w:pos="3888"/>
        <w:tab w:val="clear" w:pos="4320"/>
        <w:tab w:val="clear" w:pos="4752"/>
        <w:tab w:val="left" w:pos="1080"/>
        <w:tab w:val="left" w:pos="2880"/>
      </w:tabs>
      <w:ind w:left="216"/>
    </w:pPr>
    <w:rPr>
      <w:b/>
    </w:rPr>
  </w:style>
  <w:style w:type="paragraph" w:customStyle="1" w:styleId="PayItemPayUnit">
    <w:name w:val="Pay Item/Pay Unit"/>
    <w:basedOn w:val="ODOTSpecs"/>
    <w:pPr>
      <w:tabs>
        <w:tab w:val="clear" w:pos="432"/>
        <w:tab w:val="clear" w:pos="864"/>
        <w:tab w:val="clear" w:pos="1296"/>
        <w:tab w:val="clear" w:pos="1728"/>
        <w:tab w:val="clear" w:pos="2160"/>
        <w:tab w:val="clear" w:pos="2592"/>
        <w:tab w:val="clear" w:pos="3456"/>
        <w:tab w:val="clear" w:pos="3888"/>
        <w:tab w:val="clear" w:pos="4320"/>
        <w:tab w:val="clear" w:pos="4752"/>
        <w:tab w:val="left" w:pos="1080"/>
        <w:tab w:val="left" w:pos="1224"/>
        <w:tab w:val="left" w:pos="2880"/>
      </w:tabs>
      <w:spacing w:after="0"/>
      <w:ind w:left="216"/>
      <w:jc w:val="left"/>
    </w:pPr>
    <w:rPr>
      <w:rFonts w:ascii="Times" w:hAnsi="Times"/>
      <w:sz w:val="18"/>
    </w:rPr>
  </w:style>
  <w:style w:type="paragraph" w:customStyle="1" w:styleId="3IndentList">
    <w:name w:val="3 Indent List"/>
    <w:basedOn w:val="ODOTSpecs"/>
    <w:pPr>
      <w:spacing w:after="0"/>
      <w:ind w:left="2160" w:hanging="432"/>
    </w:pPr>
  </w:style>
  <w:style w:type="paragraph" w:customStyle="1" w:styleId="EquationText">
    <w:name w:val="Equation Text"/>
    <w:basedOn w:val="ODOTSpecs"/>
    <w:pPr>
      <w:spacing w:after="0"/>
      <w:jc w:val="center"/>
    </w:pPr>
    <w:rPr>
      <w:rFonts w:ascii="Arial" w:hAnsi="Arial"/>
    </w:rPr>
  </w:style>
  <w:style w:type="paragraph" w:customStyle="1" w:styleId="MaterialList">
    <w:name w:val="Material List"/>
    <w:basedOn w:val="ODOTSpecs"/>
    <w:p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right" w:leader="dot" w:pos="4608"/>
      </w:tabs>
      <w:spacing w:after="0"/>
      <w:ind w:left="648" w:hanging="216"/>
    </w:pPr>
    <w:rPr>
      <w:sz w:val="18"/>
    </w:rPr>
  </w:style>
  <w:style w:type="paragraph" w:customStyle="1" w:styleId="TableTextNote">
    <w:name w:val="Table Text Note"/>
    <w:basedOn w:val="ODOTSpecs"/>
    <w:pPr>
      <w:keepNext/>
      <w:tabs>
        <w:tab w:val="clear" w:pos="864"/>
        <w:tab w:val="clear" w:pos="1296"/>
        <w:tab w:val="clear" w:pos="1728"/>
        <w:tab w:val="clear" w:pos="2160"/>
        <w:tab w:val="clear" w:pos="2592"/>
        <w:tab w:val="clear" w:pos="3024"/>
        <w:tab w:val="clear" w:pos="3456"/>
        <w:tab w:val="clear" w:pos="3888"/>
        <w:tab w:val="clear" w:pos="4320"/>
        <w:tab w:val="clear" w:pos="4752"/>
      </w:tabs>
      <w:spacing w:after="0"/>
      <w:ind w:left="288" w:hanging="288"/>
    </w:pPr>
    <w:rPr>
      <w:sz w:val="16"/>
    </w:rPr>
  </w:style>
  <w:style w:type="paragraph" w:customStyle="1" w:styleId="2IndentList">
    <w:name w:val="2 Indent List"/>
    <w:basedOn w:val="ODOTSpecs"/>
    <w:pPr>
      <w:spacing w:after="0"/>
      <w:ind w:left="1728" w:hanging="432"/>
    </w:pPr>
  </w:style>
  <w:style w:type="paragraph" w:customStyle="1" w:styleId="MaterialsListNote">
    <w:name w:val="Materials List Note"/>
    <w:basedOn w:val="ODOTSpecs"/>
    <w:pPr>
      <w:spacing w:before="100"/>
      <w:ind w:left="864" w:right="648" w:hanging="216"/>
    </w:pPr>
    <w:rPr>
      <w:rFonts w:ascii="Times" w:hAnsi="Times"/>
      <w:sz w:val="16"/>
    </w:rPr>
  </w:style>
  <w:style w:type="paragraph" w:customStyle="1" w:styleId="4Indent2Paragraph">
    <w:name w:val="4 Indent 2 Paragraph"/>
    <w:basedOn w:val="ODOTSpecs"/>
    <w:pPr>
      <w:ind w:firstLine="1728"/>
    </w:pPr>
  </w:style>
  <w:style w:type="paragraph" w:customStyle="1" w:styleId="5Indent1Paragraph">
    <w:name w:val="5 Indent 1 Paragraph"/>
    <w:basedOn w:val="ODOTSpecs"/>
    <w:pPr>
      <w:ind w:firstLine="1728"/>
    </w:pPr>
  </w:style>
  <w:style w:type="paragraph" w:customStyle="1" w:styleId="4IndentList">
    <w:name w:val="4 Indent List"/>
    <w:basedOn w:val="ODOTSpecs"/>
    <w:pPr>
      <w:spacing w:after="0"/>
      <w:ind w:left="1296" w:hanging="432"/>
    </w:pPr>
  </w:style>
  <w:style w:type="paragraph" w:customStyle="1" w:styleId="5Indent2Paragraph">
    <w:name w:val="5 Indent 2 Paragraph"/>
    <w:basedOn w:val="ODOTSpecs"/>
    <w:pPr>
      <w:ind w:firstLine="2160"/>
    </w:pPr>
  </w:style>
  <w:style w:type="paragraph" w:customStyle="1" w:styleId="5IndentList">
    <w:name w:val="5 Indent List"/>
    <w:basedOn w:val="ODOTSpecs"/>
    <w:pPr>
      <w:spacing w:after="0"/>
      <w:ind w:left="576" w:firstLine="288"/>
    </w:pPr>
  </w:style>
  <w:style w:type="paragraph" w:styleId="IndexHeading">
    <w:name w:val="index heading"/>
    <w:basedOn w:val="Normal"/>
    <w:next w:val="Index1"/>
    <w:semiHidden/>
    <w:pPr>
      <w:spacing w:before="120" w:after="120"/>
    </w:pPr>
    <w:rPr>
      <w:b/>
      <w:bCs/>
      <w:i/>
      <w:iCs/>
      <w:szCs w:val="24"/>
    </w:rPr>
  </w:style>
  <w:style w:type="paragraph" w:styleId="Index1">
    <w:name w:val="index 1"/>
    <w:basedOn w:val="Normal"/>
    <w:next w:val="Normal"/>
    <w:autoRedefine/>
    <w:semiHidden/>
    <w:pPr>
      <w:widowControl w:val="0"/>
      <w:tabs>
        <w:tab w:val="right" w:pos="5030"/>
      </w:tabs>
      <w:ind w:left="202" w:hanging="202"/>
    </w:pPr>
    <w:rPr>
      <w:noProof/>
      <w:sz w:val="18"/>
      <w:szCs w:val="24"/>
    </w:rPr>
  </w:style>
  <w:style w:type="paragraph" w:styleId="Index2">
    <w:name w:val="index 2"/>
    <w:basedOn w:val="Normal"/>
    <w:next w:val="Normal"/>
    <w:autoRedefine/>
    <w:semiHidden/>
    <w:pPr>
      <w:tabs>
        <w:tab w:val="right" w:pos="5030"/>
      </w:tabs>
      <w:ind w:left="400" w:hanging="200"/>
    </w:pPr>
    <w:rPr>
      <w:noProof/>
      <w:sz w:val="18"/>
      <w:szCs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sz w:val="17"/>
    </w:rPr>
  </w:style>
  <w:style w:type="character" w:styleId="PageNumber">
    <w:name w:val="page number"/>
    <w:basedOn w:val="DefaultParagraphFont"/>
    <w:rPr>
      <w:rFonts w:ascii="Times New Roman" w:hAnsi="Times New Roman"/>
      <w:sz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customStyle="1" w:styleId="LineRight">
    <w:name w:val="Line Right"/>
    <w:pPr>
      <w:widowControl w:val="0"/>
      <w:pBdr>
        <w:right w:val="single" w:sz="6" w:space="0" w:color="000000"/>
      </w:pBdr>
      <w:autoSpaceDE w:val="0"/>
      <w:autoSpaceDN w:val="0"/>
      <w:adjustRightInd w:val="0"/>
      <w:jc w:val="both"/>
    </w:pPr>
    <w:rPr>
      <w:szCs w:val="24"/>
    </w:rPr>
  </w:style>
  <w:style w:type="character" w:styleId="FollowedHyperlink">
    <w:name w:val="FollowedHyperlink"/>
    <w:basedOn w:val="DefaultParagraphFont"/>
    <w:rPr>
      <w:color w:val="800080"/>
      <w:u w:val="single"/>
    </w:rPr>
  </w:style>
  <w:style w:type="paragraph" w:customStyle="1" w:styleId="Equationlist">
    <w:name w:val="Equation list"/>
    <w:basedOn w:val="ODOTSpecs"/>
    <w:p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right" w:pos="1440"/>
        <w:tab w:val="left" w:pos="1512"/>
      </w:tabs>
      <w:spacing w:after="0"/>
      <w:ind w:left="1512" w:hanging="1512"/>
      <w:jc w:val="left"/>
    </w:pPr>
  </w:style>
  <w:style w:type="paragraph" w:styleId="BodyText">
    <w:name w:val="Body Text"/>
    <w:basedOn w:val="Normal"/>
    <w:pPr>
      <w:tabs>
        <w:tab w:val="left" w:pos="360"/>
      </w:tabs>
    </w:pPr>
    <w:rPr>
      <w:rFonts w:ascii="Times" w:hAnsi="Times" w:cs="Times"/>
      <w:sz w:val="18"/>
      <w:szCs w:val="18"/>
    </w:rPr>
  </w:style>
  <w:style w:type="paragraph" w:styleId="DocumentMap">
    <w:name w:val="Document Map"/>
    <w:basedOn w:val="Normal"/>
    <w:semiHidden/>
    <w:pPr>
      <w:shd w:val="clear" w:color="auto" w:fill="000080"/>
    </w:pPr>
    <w:rPr>
      <w:rFonts w:ascii="Tahoma" w:hAnsi="Tahoma" w:cs="Tahoma"/>
    </w:rPr>
  </w:style>
  <w:style w:type="paragraph" w:styleId="PlainText">
    <w:name w:val="Plain Text"/>
    <w:basedOn w:val="Normal"/>
    <w:rPr>
      <w:rFonts w:ascii="Courier New" w:hAnsi="Courier New" w:cs="Courier New"/>
    </w:rPr>
  </w:style>
  <w:style w:type="paragraph" w:styleId="BalloonText">
    <w:name w:val="Balloon Text"/>
    <w:basedOn w:val="Normal"/>
    <w:semiHidden/>
    <w:rsid w:val="005A3BA4"/>
    <w:rPr>
      <w:rFonts w:ascii="Tahoma" w:hAnsi="Tahoma" w:cs="Tahoma"/>
      <w:sz w:val="16"/>
      <w:szCs w:val="16"/>
    </w:rPr>
  </w:style>
  <w:style w:type="character" w:customStyle="1" w:styleId="SectionChar">
    <w:name w:val="Section Char"/>
    <w:link w:val="Section"/>
    <w:uiPriority w:val="99"/>
    <w:rsid w:val="0001634E"/>
    <w:rPr>
      <w:b/>
      <w:caps/>
    </w:rPr>
  </w:style>
  <w:style w:type="character" w:customStyle="1" w:styleId="SubsectionParagraphChar">
    <w:name w:val="Subsection Paragraph Char"/>
    <w:link w:val="SubsectionParagraph"/>
    <w:rsid w:val="0001634E"/>
    <w:rPr>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100  GENERAL PROVISIONS</vt:lpstr>
    </vt:vector>
  </TitlesOfParts>
  <Company>Trauner Consulting Services</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  GENERAL PROVISIONS</dc:title>
  <dc:subject/>
  <dc:creator>Trauner Consulting Services</dc:creator>
  <cp:keywords/>
  <dc:description/>
  <cp:lastModifiedBy>Bishop, Clint</cp:lastModifiedBy>
  <cp:revision>2</cp:revision>
  <cp:lastPrinted>2002-02-12T18:37:00Z</cp:lastPrinted>
  <dcterms:created xsi:type="dcterms:W3CDTF">2023-04-05T18:13:00Z</dcterms:created>
  <dcterms:modified xsi:type="dcterms:W3CDTF">2023-04-05T18:13:00Z</dcterms:modified>
</cp:coreProperties>
</file>