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92ABF" w14:textId="77777777" w:rsidR="001B19B7" w:rsidRDefault="00B677A0" w:rsidP="00810B4A">
      <w:pPr>
        <w:pStyle w:val="Heading1"/>
        <w:spacing w:after="120"/>
      </w:pPr>
      <w:bookmarkStart w:id="0" w:name="_Hlk528650740"/>
      <w:r w:rsidRPr="00B677A0">
        <w:t>Overview</w:t>
      </w:r>
    </w:p>
    <w:p w14:paraId="59999D7A" w14:textId="30C104FA" w:rsidR="00DC41B8" w:rsidRDefault="00B677A0" w:rsidP="0016444A">
      <w:pPr>
        <w:jc w:val="both"/>
      </w:pPr>
      <w:r>
        <w:t>The Ohio Department of Tran</w:t>
      </w:r>
      <w:r w:rsidR="00BA6DAA">
        <w:t>sportation (ODOT) deploys field data collection technology</w:t>
      </w:r>
      <w:r w:rsidR="00E12C2A">
        <w:t xml:space="preserve">, to facilitate the inventory and inspection of many of ODOT’s transportation assets.  </w:t>
      </w:r>
      <w:r w:rsidR="00BA6DAA">
        <w:t xml:space="preserve">At this time (Fall 2018), this technology is the ESRI Collector, ESRI WebAppBuilder, and other related GIS applications (now referred to collectively as “Collector”).  </w:t>
      </w:r>
      <w:r w:rsidR="00DC41B8">
        <w:t>ODOT deploys this software on state IT infrastructure and can make it available for external vendors under contract to aid in the mai</w:t>
      </w:r>
      <w:bookmarkStart w:id="1" w:name="_GoBack"/>
      <w:bookmarkEnd w:id="1"/>
      <w:r w:rsidR="00DC41B8">
        <w:t xml:space="preserve">ntenance of this information.  Benefits for vendors leveraging the ODOT infrastructure for these solutions include: </w:t>
      </w:r>
    </w:p>
    <w:p w14:paraId="753B4515" w14:textId="77777777" w:rsidR="00DC41B8" w:rsidRDefault="00DC41B8" w:rsidP="0016444A">
      <w:pPr>
        <w:pStyle w:val="ListParagraph"/>
        <w:numPr>
          <w:ilvl w:val="0"/>
          <w:numId w:val="1"/>
        </w:numPr>
        <w:jc w:val="both"/>
      </w:pPr>
      <w:r>
        <w:t>new and updated inventory/inspection records are stored directly in ODOT databases, making the information available immediately for ODOT usage</w:t>
      </w:r>
    </w:p>
    <w:p w14:paraId="7DD628D1" w14:textId="36D26F30" w:rsidR="00DC41B8" w:rsidRDefault="00690EF5" w:rsidP="0016444A">
      <w:pPr>
        <w:pStyle w:val="ListParagraph"/>
        <w:numPr>
          <w:ilvl w:val="0"/>
          <w:numId w:val="1"/>
        </w:numPr>
        <w:jc w:val="both"/>
      </w:pPr>
      <w:r>
        <w:t xml:space="preserve">ensures consistent data </w:t>
      </w:r>
      <w:r w:rsidR="00361327" w:rsidRPr="00361327">
        <w:t>as all enterprise asset collections will adhere to ODOT approved Collector infrastructure and application requirements</w:t>
      </w:r>
    </w:p>
    <w:p w14:paraId="1BE8D33D" w14:textId="13727F2D" w:rsidR="00690EF5" w:rsidRDefault="00690EF5" w:rsidP="0016444A">
      <w:pPr>
        <w:pStyle w:val="ListParagraph"/>
        <w:numPr>
          <w:ilvl w:val="0"/>
          <w:numId w:val="1"/>
        </w:numPr>
        <w:jc w:val="both"/>
      </w:pPr>
      <w:r>
        <w:t xml:space="preserve">reduces vendor </w:t>
      </w:r>
      <w:r w:rsidR="00361327">
        <w:t>contract requirements</w:t>
      </w:r>
      <w:r>
        <w:t xml:space="preserve"> (vendors do not need to build &amp; maintain their own solutions, and determine a method for transmitting data to ODOT)</w:t>
      </w:r>
    </w:p>
    <w:p w14:paraId="4DFC81A2" w14:textId="77777777" w:rsidR="00D601C3" w:rsidRDefault="00690EF5" w:rsidP="00810B4A">
      <w:pPr>
        <w:pStyle w:val="Heading1"/>
        <w:spacing w:after="120"/>
      </w:pPr>
      <w:r w:rsidRPr="00690EF5">
        <w:t>Service Level Expectations</w:t>
      </w:r>
    </w:p>
    <w:p w14:paraId="6B05FFB6" w14:textId="6F4A9534" w:rsidR="00D601C3" w:rsidRDefault="00D601C3" w:rsidP="00690EF5">
      <w:r>
        <w:t xml:space="preserve">ODOT </w:t>
      </w:r>
      <w:r w:rsidR="007C2284">
        <w:t>may</w:t>
      </w:r>
      <w:r>
        <w:t xml:space="preserve"> provide vendors access to the following (some variation across solutions):</w:t>
      </w:r>
    </w:p>
    <w:tbl>
      <w:tblPr>
        <w:tblStyle w:val="TableGrid"/>
        <w:tblW w:w="0" w:type="auto"/>
        <w:tblLook w:val="04A0" w:firstRow="1" w:lastRow="0" w:firstColumn="1" w:lastColumn="0" w:noHBand="0" w:noVBand="1"/>
      </w:tblPr>
      <w:tblGrid>
        <w:gridCol w:w="2785"/>
        <w:gridCol w:w="6565"/>
      </w:tblGrid>
      <w:tr w:rsidR="00D601C3" w14:paraId="596FCD67" w14:textId="77777777" w:rsidTr="00BF0624">
        <w:tc>
          <w:tcPr>
            <w:tcW w:w="2785" w:type="dxa"/>
            <w:shd w:val="clear" w:color="auto" w:fill="A6A6A6" w:themeFill="background1" w:themeFillShade="A6"/>
          </w:tcPr>
          <w:p w14:paraId="602FDD7B" w14:textId="77777777" w:rsidR="00D601C3" w:rsidRPr="00D601C3" w:rsidRDefault="00D601C3" w:rsidP="00690EF5">
            <w:pPr>
              <w:rPr>
                <w:b/>
              </w:rPr>
            </w:pPr>
            <w:r w:rsidRPr="00D601C3">
              <w:rPr>
                <w:b/>
              </w:rPr>
              <w:t>Item</w:t>
            </w:r>
          </w:p>
        </w:tc>
        <w:tc>
          <w:tcPr>
            <w:tcW w:w="6565" w:type="dxa"/>
            <w:shd w:val="clear" w:color="auto" w:fill="A6A6A6" w:themeFill="background1" w:themeFillShade="A6"/>
          </w:tcPr>
          <w:p w14:paraId="275094F9" w14:textId="77777777" w:rsidR="00D601C3" w:rsidRPr="00D601C3" w:rsidRDefault="00D601C3" w:rsidP="00690EF5">
            <w:pPr>
              <w:rPr>
                <w:b/>
              </w:rPr>
            </w:pPr>
            <w:r>
              <w:rPr>
                <w:b/>
              </w:rPr>
              <w:t>Comments</w:t>
            </w:r>
          </w:p>
        </w:tc>
      </w:tr>
      <w:tr w:rsidR="00D601C3" w14:paraId="5F451BC1" w14:textId="77777777" w:rsidTr="00BF0624">
        <w:tc>
          <w:tcPr>
            <w:tcW w:w="2785" w:type="dxa"/>
          </w:tcPr>
          <w:p w14:paraId="3127C40E" w14:textId="77777777" w:rsidR="00D601C3" w:rsidRDefault="00D601C3" w:rsidP="00690EF5">
            <w:r>
              <w:t>Named User Account for secured sign on access</w:t>
            </w:r>
          </w:p>
        </w:tc>
        <w:tc>
          <w:tcPr>
            <w:tcW w:w="6565" w:type="dxa"/>
          </w:tcPr>
          <w:p w14:paraId="5D992C8B" w14:textId="77777777" w:rsidR="00D601C3" w:rsidRDefault="00D601C3" w:rsidP="00690EF5">
            <w:r>
              <w:t>Required for solution access</w:t>
            </w:r>
          </w:p>
          <w:p w14:paraId="584EBA12" w14:textId="77777777" w:rsidR="00D601C3" w:rsidRDefault="00561380" w:rsidP="00690EF5">
            <w:hyperlink r:id="rId11" w:history="1">
              <w:r w:rsidR="00D601C3" w:rsidRPr="00260C27">
                <w:rPr>
                  <w:rStyle w:val="Hyperlink"/>
                </w:rPr>
                <w:t>https://myodot.dot.state.oh.us</w:t>
              </w:r>
            </w:hyperlink>
            <w:r w:rsidR="00D601C3">
              <w:t xml:space="preserve"> </w:t>
            </w:r>
          </w:p>
        </w:tc>
      </w:tr>
      <w:tr w:rsidR="00D601C3" w14:paraId="63A370B7" w14:textId="77777777" w:rsidTr="00BF0624">
        <w:tc>
          <w:tcPr>
            <w:tcW w:w="2785" w:type="dxa"/>
          </w:tcPr>
          <w:p w14:paraId="7946A56F" w14:textId="77777777" w:rsidR="00D601C3" w:rsidRDefault="00D601C3" w:rsidP="00690EF5">
            <w:r w:rsidRPr="00D601C3">
              <w:t>Collector Maps for inventory / inspection</w:t>
            </w:r>
          </w:p>
        </w:tc>
        <w:tc>
          <w:tcPr>
            <w:tcW w:w="6565" w:type="dxa"/>
          </w:tcPr>
          <w:p w14:paraId="264589DD" w14:textId="77777777" w:rsidR="00D601C3" w:rsidRDefault="00D601C3" w:rsidP="00690EF5">
            <w:r>
              <w:t>Accessed via mobile devices for field data collection</w:t>
            </w:r>
          </w:p>
          <w:p w14:paraId="54C6A48C" w14:textId="56951C16" w:rsidR="001069C5" w:rsidRDefault="001069C5" w:rsidP="00690EF5">
            <w:r>
              <w:t xml:space="preserve">The Collector application </w:t>
            </w:r>
            <w:r w:rsidR="007C2284">
              <w:t>shall</w:t>
            </w:r>
            <w:r>
              <w:t xml:space="preserve"> be downloaded from the Apple App Store</w:t>
            </w:r>
          </w:p>
        </w:tc>
      </w:tr>
      <w:tr w:rsidR="00D601C3" w14:paraId="34F6D251" w14:textId="77777777" w:rsidTr="00BF0624">
        <w:tc>
          <w:tcPr>
            <w:tcW w:w="2785" w:type="dxa"/>
          </w:tcPr>
          <w:p w14:paraId="1027FEDD" w14:textId="77777777" w:rsidR="00D601C3" w:rsidRDefault="00D601C3" w:rsidP="00690EF5">
            <w:r>
              <w:t>Web Apps</w:t>
            </w:r>
          </w:p>
        </w:tc>
        <w:tc>
          <w:tcPr>
            <w:tcW w:w="6565" w:type="dxa"/>
          </w:tcPr>
          <w:p w14:paraId="69692AB7" w14:textId="77777777" w:rsidR="00D601C3" w:rsidRDefault="00D601C3" w:rsidP="00690EF5">
            <w:r>
              <w:t>Accessed via web browsers for viewing and editing data</w:t>
            </w:r>
          </w:p>
          <w:p w14:paraId="0298A4CC" w14:textId="77777777" w:rsidR="00D601C3" w:rsidRDefault="00D601C3" w:rsidP="00690EF5">
            <w:r>
              <w:t>Some require secured sign on for access</w:t>
            </w:r>
          </w:p>
        </w:tc>
      </w:tr>
      <w:tr w:rsidR="00D601C3" w14:paraId="5B26C03B" w14:textId="77777777" w:rsidTr="00BF0624">
        <w:tc>
          <w:tcPr>
            <w:tcW w:w="2785" w:type="dxa"/>
          </w:tcPr>
          <w:p w14:paraId="7BEF4DB5" w14:textId="77777777" w:rsidR="00D601C3" w:rsidRDefault="00D601C3" w:rsidP="00690EF5">
            <w:r>
              <w:t>QC Reports</w:t>
            </w:r>
          </w:p>
        </w:tc>
        <w:tc>
          <w:tcPr>
            <w:tcW w:w="6565" w:type="dxa"/>
          </w:tcPr>
          <w:p w14:paraId="26851942" w14:textId="7D7B4A81" w:rsidR="00D601C3" w:rsidRDefault="00D601C3" w:rsidP="00690EF5">
            <w:r>
              <w:t>Automated reports which highlight data quality concerns.  If</w:t>
            </w:r>
            <w:r w:rsidR="007C2284">
              <w:t xml:space="preserve"> QC Reports are</w:t>
            </w:r>
            <w:r>
              <w:t xml:space="preserve"> included as part of a solution, </w:t>
            </w:r>
            <w:r w:rsidR="00910362">
              <w:t xml:space="preserve">shall </w:t>
            </w:r>
            <w:r>
              <w:t xml:space="preserve">be utilized by vendors to ensure data quality </w:t>
            </w:r>
          </w:p>
        </w:tc>
      </w:tr>
      <w:tr w:rsidR="00D601C3" w14:paraId="4EF7EF78" w14:textId="77777777" w:rsidTr="00BF0624">
        <w:tc>
          <w:tcPr>
            <w:tcW w:w="2785" w:type="dxa"/>
          </w:tcPr>
          <w:p w14:paraId="78A98DAB" w14:textId="77777777" w:rsidR="00D601C3" w:rsidRDefault="00D601C3" w:rsidP="00690EF5">
            <w:r>
              <w:t>Inventory Manuals</w:t>
            </w:r>
          </w:p>
        </w:tc>
        <w:tc>
          <w:tcPr>
            <w:tcW w:w="6565" w:type="dxa"/>
          </w:tcPr>
          <w:p w14:paraId="1BACCB17" w14:textId="3D2035C0" w:rsidR="00D601C3" w:rsidRDefault="00D601C3" w:rsidP="00690EF5">
            <w:r>
              <w:t>PDF documents which detail what and how information needs to be c</w:t>
            </w:r>
            <w:r w:rsidR="007C2284">
              <w:t xml:space="preserve">ollected.  Vendors shall </w:t>
            </w:r>
            <w:r>
              <w:t>collect data according to these specifications</w:t>
            </w:r>
          </w:p>
        </w:tc>
      </w:tr>
      <w:tr w:rsidR="00D601C3" w14:paraId="77AE988D" w14:textId="77777777" w:rsidTr="00BF0624">
        <w:tc>
          <w:tcPr>
            <w:tcW w:w="2785" w:type="dxa"/>
          </w:tcPr>
          <w:p w14:paraId="18AABEB0" w14:textId="77777777" w:rsidR="00D601C3" w:rsidRDefault="00D601C3" w:rsidP="00690EF5">
            <w:r>
              <w:t>Basemap Imagery Files (TPK file type)</w:t>
            </w:r>
          </w:p>
        </w:tc>
        <w:tc>
          <w:tcPr>
            <w:tcW w:w="6565" w:type="dxa"/>
          </w:tcPr>
          <w:p w14:paraId="69623596" w14:textId="77777777" w:rsidR="00D601C3" w:rsidRDefault="00D601C3" w:rsidP="00690EF5">
            <w:r>
              <w:t>ODOT has generated TPK imagery files for offline data collection.  These can be made available for vendors if desired</w:t>
            </w:r>
          </w:p>
        </w:tc>
      </w:tr>
      <w:tr w:rsidR="00361327" w14:paraId="1648D81C" w14:textId="77777777" w:rsidTr="00BF0624">
        <w:tc>
          <w:tcPr>
            <w:tcW w:w="2785" w:type="dxa"/>
          </w:tcPr>
          <w:p w14:paraId="7A4E8159" w14:textId="1B250229" w:rsidR="00361327" w:rsidRDefault="00361327" w:rsidP="00690EF5">
            <w:r>
              <w:t>Asset Contact Information</w:t>
            </w:r>
          </w:p>
        </w:tc>
        <w:tc>
          <w:tcPr>
            <w:tcW w:w="6565" w:type="dxa"/>
          </w:tcPr>
          <w:p w14:paraId="30C525D3" w14:textId="7F8B4C8C" w:rsidR="00361327" w:rsidRDefault="00361327" w:rsidP="00690EF5">
            <w:r>
              <w:t xml:space="preserve">ODOT has established roles to ensure consistent management of asset information.  Data Business Owners (DBO) reside in ODOT Central Office and </w:t>
            </w:r>
            <w:r w:rsidR="007C2284">
              <w:t>manage</w:t>
            </w:r>
            <w:r>
              <w:t xml:space="preserve"> the overall asset performance.  Subject Matter Experts reside in District Offices, overseeing daily matters related to an asset.  District Transportation Asset Management Coordinators are additional resources in each District which help coordinate asset management activities.  They </w:t>
            </w:r>
            <w:r w:rsidR="00831ED1">
              <w:t xml:space="preserve">may </w:t>
            </w:r>
            <w:r>
              <w:t xml:space="preserve">also be contacted for support.  </w:t>
            </w:r>
          </w:p>
        </w:tc>
      </w:tr>
    </w:tbl>
    <w:p w14:paraId="001F49FE" w14:textId="77777777" w:rsidR="00D601C3" w:rsidRDefault="00D601C3" w:rsidP="00690EF5"/>
    <w:p w14:paraId="74C05957" w14:textId="77777777" w:rsidR="007C16BE" w:rsidRDefault="007C16BE" w:rsidP="00690EF5"/>
    <w:p w14:paraId="638CCA23" w14:textId="77777777" w:rsidR="007C16BE" w:rsidRDefault="007C16BE" w:rsidP="00690EF5"/>
    <w:p w14:paraId="41BEDBA2" w14:textId="77777777" w:rsidR="008A36BD" w:rsidRDefault="008A36BD" w:rsidP="00690EF5"/>
    <w:p w14:paraId="4B6656FC" w14:textId="51FCB948" w:rsidR="001069C5" w:rsidRDefault="001069C5" w:rsidP="00690EF5">
      <w:r>
        <w:t xml:space="preserve">ODOT </w:t>
      </w:r>
      <w:r w:rsidR="007C2284">
        <w:t>shall not</w:t>
      </w:r>
      <w:r>
        <w:t xml:space="preserve"> provide vendors the following:</w:t>
      </w:r>
    </w:p>
    <w:tbl>
      <w:tblPr>
        <w:tblStyle w:val="TableGrid"/>
        <w:tblW w:w="0" w:type="auto"/>
        <w:tblLook w:val="04A0" w:firstRow="1" w:lastRow="0" w:firstColumn="1" w:lastColumn="0" w:noHBand="0" w:noVBand="1"/>
      </w:tblPr>
      <w:tblGrid>
        <w:gridCol w:w="2785"/>
        <w:gridCol w:w="6565"/>
      </w:tblGrid>
      <w:tr w:rsidR="001069C5" w:rsidRPr="00D601C3" w14:paraId="230E150C" w14:textId="77777777" w:rsidTr="00E705F9">
        <w:trPr>
          <w:tblHeader/>
        </w:trPr>
        <w:tc>
          <w:tcPr>
            <w:tcW w:w="2785" w:type="dxa"/>
            <w:shd w:val="clear" w:color="auto" w:fill="A6A6A6" w:themeFill="background1" w:themeFillShade="A6"/>
          </w:tcPr>
          <w:p w14:paraId="3023E6DA" w14:textId="77777777" w:rsidR="001069C5" w:rsidRPr="00D601C3" w:rsidRDefault="001069C5" w:rsidP="00462DB4">
            <w:pPr>
              <w:rPr>
                <w:b/>
              </w:rPr>
            </w:pPr>
            <w:r w:rsidRPr="00D601C3">
              <w:rPr>
                <w:b/>
              </w:rPr>
              <w:t>Item</w:t>
            </w:r>
          </w:p>
        </w:tc>
        <w:tc>
          <w:tcPr>
            <w:tcW w:w="6565" w:type="dxa"/>
            <w:shd w:val="clear" w:color="auto" w:fill="A6A6A6" w:themeFill="background1" w:themeFillShade="A6"/>
          </w:tcPr>
          <w:p w14:paraId="6C5C113C" w14:textId="77777777" w:rsidR="001069C5" w:rsidRPr="00D601C3" w:rsidRDefault="001069C5" w:rsidP="00462DB4">
            <w:pPr>
              <w:rPr>
                <w:b/>
              </w:rPr>
            </w:pPr>
            <w:r>
              <w:rPr>
                <w:b/>
              </w:rPr>
              <w:t>Comments</w:t>
            </w:r>
          </w:p>
        </w:tc>
      </w:tr>
      <w:tr w:rsidR="001069C5" w14:paraId="7FD1B2EF" w14:textId="77777777" w:rsidTr="00BF0624">
        <w:tc>
          <w:tcPr>
            <w:tcW w:w="2785" w:type="dxa"/>
          </w:tcPr>
          <w:p w14:paraId="6E4A36B6" w14:textId="77777777" w:rsidR="001069C5" w:rsidRDefault="00D70FAD" w:rsidP="00462DB4">
            <w:r>
              <w:t>Mobile Devices (iPads, iPhones</w:t>
            </w:r>
            <w:r w:rsidR="001069C5">
              <w:t>, etc.)</w:t>
            </w:r>
          </w:p>
        </w:tc>
        <w:tc>
          <w:tcPr>
            <w:tcW w:w="6565" w:type="dxa"/>
          </w:tcPr>
          <w:p w14:paraId="3021DDA7" w14:textId="52D98C78" w:rsidR="001069C5" w:rsidRDefault="001069C5" w:rsidP="00462DB4">
            <w:r>
              <w:t xml:space="preserve">Vendors </w:t>
            </w:r>
            <w:r w:rsidR="007C2284">
              <w:t>shall</w:t>
            </w:r>
            <w:r>
              <w:t xml:space="preserve"> supply their own equipment, and it is </w:t>
            </w:r>
            <w:r w:rsidR="00F22B1E">
              <w:t xml:space="preserve">the vendor’s exclusive responsibility </w:t>
            </w:r>
            <w:r>
              <w:t xml:space="preserve">to ensure compatibility with the ODOT solution.  </w:t>
            </w:r>
            <w:r w:rsidR="00F22B1E">
              <w:t>Mobile devices shall</w:t>
            </w:r>
            <w:r w:rsidR="007D78C0">
              <w:t xml:space="preserve"> have GPS functionality to enable locational data collection.  </w:t>
            </w:r>
            <w:r w:rsidR="00F22B1E">
              <w:t xml:space="preserve">Mobile devices shall have sufficient memory and storage to support offline data connection (data collection when no cellular network is available).  </w:t>
            </w:r>
          </w:p>
          <w:p w14:paraId="1E411B20" w14:textId="77777777" w:rsidR="001069C5" w:rsidRDefault="001069C5" w:rsidP="00462DB4"/>
          <w:p w14:paraId="42BA4ABB" w14:textId="77777777" w:rsidR="00D70FAD" w:rsidRPr="00D70FAD" w:rsidRDefault="00D70FAD" w:rsidP="00462DB4">
            <w:pPr>
              <w:rPr>
                <w:b/>
              </w:rPr>
            </w:pPr>
            <w:r>
              <w:rPr>
                <w:b/>
              </w:rPr>
              <w:t>Supported Platform</w:t>
            </w:r>
            <w:r w:rsidRPr="00D70FAD">
              <w:rPr>
                <w:b/>
              </w:rPr>
              <w:t>: Apple iOS</w:t>
            </w:r>
            <w:r w:rsidR="00FB7721">
              <w:rPr>
                <w:b/>
              </w:rPr>
              <w:t xml:space="preserve"> version 11.2+</w:t>
            </w:r>
          </w:p>
        </w:tc>
      </w:tr>
      <w:tr w:rsidR="001069C5" w14:paraId="1BD16DE0" w14:textId="77777777" w:rsidTr="00BF0624">
        <w:tc>
          <w:tcPr>
            <w:tcW w:w="2785" w:type="dxa"/>
          </w:tcPr>
          <w:p w14:paraId="2ACA7436" w14:textId="77777777" w:rsidR="001069C5" w:rsidRDefault="00D70FAD" w:rsidP="00462DB4">
            <w:r>
              <w:t>Mobile Data Plans</w:t>
            </w:r>
          </w:p>
        </w:tc>
        <w:tc>
          <w:tcPr>
            <w:tcW w:w="6565" w:type="dxa"/>
          </w:tcPr>
          <w:p w14:paraId="33D8F8FC" w14:textId="77777777" w:rsidR="001069C5" w:rsidRDefault="00D70FAD" w:rsidP="00462DB4">
            <w:r>
              <w:t xml:space="preserve">ODOT Collector solutions are designed to function in both online (connected to cellular network if available) or offline (requires cellular or WiFi </w:t>
            </w:r>
            <w:r w:rsidR="0063026E">
              <w:t>connection</w:t>
            </w:r>
            <w:r>
              <w:t xml:space="preserve"> to sync data) modes.  </w:t>
            </w:r>
          </w:p>
          <w:p w14:paraId="25D4AC52" w14:textId="77777777" w:rsidR="00D70FAD" w:rsidRDefault="00D70FAD" w:rsidP="00462DB4"/>
          <w:p w14:paraId="6AE39848" w14:textId="048D241B" w:rsidR="00D70FAD" w:rsidRDefault="00D70FAD" w:rsidP="00462DB4">
            <w:r>
              <w:t xml:space="preserve">ODOT </w:t>
            </w:r>
            <w:r w:rsidR="00F22B1E">
              <w:t>shall</w:t>
            </w:r>
            <w:r>
              <w:t xml:space="preserve"> not provide access to mobile data plans.  Vendors </w:t>
            </w:r>
            <w:r w:rsidR="00F22B1E">
              <w:t>shall</w:t>
            </w:r>
            <w:r>
              <w:t xml:space="preserve"> determine their preferred</w:t>
            </w:r>
            <w:r w:rsidR="00F22B1E">
              <w:t xml:space="preserve"> method for transmitting data (ex. Cellular, WiFi).  </w:t>
            </w:r>
          </w:p>
          <w:p w14:paraId="385601D6" w14:textId="77777777" w:rsidR="00D70FAD" w:rsidRDefault="00D70FAD" w:rsidP="00462DB4"/>
          <w:p w14:paraId="569135FF" w14:textId="3F845ADD" w:rsidR="00D70FAD" w:rsidRDefault="00D70FAD" w:rsidP="00462DB4">
            <w:r>
              <w:t>Some regions in Ohio may only work in offline mode due to limited cellular connectivity.</w:t>
            </w:r>
            <w:r w:rsidR="00F22B1E">
              <w:t xml:space="preserve">  Vendor selected mobile devices shall be able to perform to ODOT specifications in an offline mode should cellular connectivity be limited.   </w:t>
            </w:r>
          </w:p>
        </w:tc>
      </w:tr>
    </w:tbl>
    <w:p w14:paraId="4C70F5FA" w14:textId="77777777" w:rsidR="001069C5" w:rsidRDefault="001069C5" w:rsidP="00690EF5"/>
    <w:p w14:paraId="24995C3A" w14:textId="77777777" w:rsidR="00C16C5D" w:rsidRDefault="00C16C5D" w:rsidP="00690EF5">
      <w:r>
        <w:t xml:space="preserve">ODOT Service Level for Collector Infrastructure:  </w:t>
      </w:r>
    </w:p>
    <w:tbl>
      <w:tblPr>
        <w:tblStyle w:val="TableGrid"/>
        <w:tblW w:w="0" w:type="auto"/>
        <w:tblLook w:val="04A0" w:firstRow="1" w:lastRow="0" w:firstColumn="1" w:lastColumn="0" w:noHBand="0" w:noVBand="1"/>
      </w:tblPr>
      <w:tblGrid>
        <w:gridCol w:w="2785"/>
        <w:gridCol w:w="6565"/>
      </w:tblGrid>
      <w:tr w:rsidR="00C16C5D" w:rsidRPr="00D601C3" w14:paraId="604B087D" w14:textId="77777777" w:rsidTr="00BF0624">
        <w:trPr>
          <w:tblHeader/>
        </w:trPr>
        <w:tc>
          <w:tcPr>
            <w:tcW w:w="2785" w:type="dxa"/>
            <w:shd w:val="clear" w:color="auto" w:fill="A6A6A6" w:themeFill="background1" w:themeFillShade="A6"/>
          </w:tcPr>
          <w:p w14:paraId="2A73DFD5" w14:textId="77777777" w:rsidR="00C16C5D" w:rsidRPr="00D601C3" w:rsidRDefault="00C16C5D" w:rsidP="00462DB4">
            <w:pPr>
              <w:rPr>
                <w:b/>
              </w:rPr>
            </w:pPr>
            <w:r w:rsidRPr="00D601C3">
              <w:rPr>
                <w:b/>
              </w:rPr>
              <w:t>Item</w:t>
            </w:r>
          </w:p>
        </w:tc>
        <w:tc>
          <w:tcPr>
            <w:tcW w:w="6565" w:type="dxa"/>
            <w:shd w:val="clear" w:color="auto" w:fill="A6A6A6" w:themeFill="background1" w:themeFillShade="A6"/>
          </w:tcPr>
          <w:p w14:paraId="3A5EC226" w14:textId="77777777" w:rsidR="00C16C5D" w:rsidRPr="00D601C3" w:rsidRDefault="00C16C5D" w:rsidP="00462DB4">
            <w:pPr>
              <w:rPr>
                <w:b/>
              </w:rPr>
            </w:pPr>
            <w:r>
              <w:rPr>
                <w:b/>
              </w:rPr>
              <w:t>Comments</w:t>
            </w:r>
          </w:p>
        </w:tc>
      </w:tr>
      <w:tr w:rsidR="00C16C5D" w14:paraId="15494935" w14:textId="77777777" w:rsidTr="00BF0624">
        <w:tc>
          <w:tcPr>
            <w:tcW w:w="2785" w:type="dxa"/>
          </w:tcPr>
          <w:p w14:paraId="399197B3" w14:textId="77777777" w:rsidR="00C16C5D" w:rsidRDefault="00C16C5D" w:rsidP="00462DB4">
            <w:r>
              <w:t>General Solution Access &amp; Uptime</w:t>
            </w:r>
          </w:p>
        </w:tc>
        <w:tc>
          <w:tcPr>
            <w:tcW w:w="6565" w:type="dxa"/>
          </w:tcPr>
          <w:p w14:paraId="21758446" w14:textId="557F12A0" w:rsidR="00FB7721" w:rsidRDefault="00C16C5D" w:rsidP="00462DB4">
            <w:r>
              <w:t xml:space="preserve">The solution is deployed on </w:t>
            </w:r>
            <w:r w:rsidR="00F22B1E">
              <w:t xml:space="preserve">technology </w:t>
            </w:r>
            <w:r>
              <w:t xml:space="preserve">infrastructure </w:t>
            </w:r>
            <w:r w:rsidR="00F22B1E">
              <w:t xml:space="preserve">(databases, servers) </w:t>
            </w:r>
            <w:r>
              <w:t xml:space="preserve">which operates 24/7/365, however periodic scheduled maintenance </w:t>
            </w:r>
            <w:r w:rsidR="00562FFF">
              <w:t xml:space="preserve">may occur, resulting in temporary unavailability.  ODOT will communicate </w:t>
            </w:r>
            <w:r w:rsidR="00F22B1E">
              <w:t xml:space="preserve">system maintenance periods </w:t>
            </w:r>
            <w:r w:rsidR="00562FFF">
              <w:t xml:space="preserve">in advanced as possible.  </w:t>
            </w:r>
          </w:p>
          <w:p w14:paraId="34602787" w14:textId="77777777" w:rsidR="00562FFF" w:rsidRDefault="00562FFF" w:rsidP="00462DB4"/>
          <w:p w14:paraId="67D9456D" w14:textId="23F1D3AE" w:rsidR="00FB7721" w:rsidRPr="00C16C5D" w:rsidRDefault="00FB7721" w:rsidP="00462DB4">
            <w:r>
              <w:t xml:space="preserve">In the event of an environment failure, ODOT will </w:t>
            </w:r>
            <w:r w:rsidR="00F912EA">
              <w:t>deploy best efforts</w:t>
            </w:r>
            <w:r>
              <w:t xml:space="preserve"> to restore access </w:t>
            </w:r>
            <w:r w:rsidR="00F912EA">
              <w:t xml:space="preserve">within a reasonable time, </w:t>
            </w:r>
            <w:r w:rsidR="0063757A">
              <w:t>but</w:t>
            </w:r>
            <w:r>
              <w:t xml:space="preserve"> may be dependent on resource availability from another state agency (DAS OIT).  </w:t>
            </w:r>
          </w:p>
        </w:tc>
      </w:tr>
      <w:tr w:rsidR="00C16C5D" w14:paraId="7D69BEFC" w14:textId="77777777" w:rsidTr="00BF0624">
        <w:tc>
          <w:tcPr>
            <w:tcW w:w="2785" w:type="dxa"/>
          </w:tcPr>
          <w:p w14:paraId="378A2B3B" w14:textId="77777777" w:rsidR="00C16C5D" w:rsidRDefault="00FB7721" w:rsidP="00462DB4">
            <w:r>
              <w:t>Solution Support</w:t>
            </w:r>
          </w:p>
        </w:tc>
        <w:tc>
          <w:tcPr>
            <w:tcW w:w="6565" w:type="dxa"/>
          </w:tcPr>
          <w:p w14:paraId="4AA93A05" w14:textId="537585FB" w:rsidR="00D06B6C" w:rsidRDefault="00FB7721" w:rsidP="00462DB4">
            <w:r>
              <w:t>ODOT can provide</w:t>
            </w:r>
            <w:r w:rsidR="002071E6">
              <w:t xml:space="preserve"> phone or email support Monday – Friday, 7AM – 3:30PM, with exception to agency observed holidays.  </w:t>
            </w:r>
          </w:p>
          <w:p w14:paraId="5923A583" w14:textId="77777777" w:rsidR="00D06B6C" w:rsidRDefault="00D06B6C" w:rsidP="00462DB4"/>
          <w:p w14:paraId="4791684F" w14:textId="7DE637A9" w:rsidR="002071E6" w:rsidRDefault="00F912EA" w:rsidP="00462DB4">
            <w:r w:rsidRPr="00F912EA">
              <w:t>ODOT will make reasonable efforts to respond to requests within 24 hours of incident notice</w:t>
            </w:r>
            <w:r w:rsidR="00D06B6C">
              <w:t xml:space="preserve">.  Resolution time frames may vary depending on incident.  </w:t>
            </w:r>
          </w:p>
          <w:p w14:paraId="305B70BF" w14:textId="77777777" w:rsidR="002071E6" w:rsidRDefault="002071E6" w:rsidP="00462DB4"/>
          <w:p w14:paraId="3F012541" w14:textId="3F028FDD" w:rsidR="002071E6" w:rsidRDefault="002071E6" w:rsidP="00462DB4">
            <w:r>
              <w:t xml:space="preserve">The Office of Technical Services </w:t>
            </w:r>
            <w:r w:rsidR="00F912EA">
              <w:t>may</w:t>
            </w:r>
            <w:r>
              <w:t xml:space="preserve"> be contacted for general Collector solution technical support.</w:t>
            </w:r>
          </w:p>
          <w:p w14:paraId="29FF0E99" w14:textId="77777777" w:rsidR="002071E6" w:rsidRDefault="002071E6" w:rsidP="00462DB4"/>
          <w:p w14:paraId="38DFD135" w14:textId="52942AA4" w:rsidR="002071E6" w:rsidRDefault="002071E6" w:rsidP="00462DB4">
            <w:r>
              <w:lastRenderedPageBreak/>
              <w:t xml:space="preserve">Asset Data Business Owners (DBO) or Subject Matter Experts (SME) </w:t>
            </w:r>
            <w:r w:rsidR="00F912EA">
              <w:t>shall</w:t>
            </w:r>
            <w:r>
              <w:t xml:space="preserve"> contacted for all matters related to inventory / inspection workflows, data quality issues, inventory specifications, etc.  </w:t>
            </w:r>
          </w:p>
        </w:tc>
      </w:tr>
      <w:tr w:rsidR="00B9240E" w14:paraId="6C4B2676" w14:textId="77777777" w:rsidTr="00BF0624">
        <w:tc>
          <w:tcPr>
            <w:tcW w:w="2785" w:type="dxa"/>
          </w:tcPr>
          <w:p w14:paraId="5CD0B67E" w14:textId="77777777" w:rsidR="00B9240E" w:rsidRDefault="00B9240E" w:rsidP="00462DB4">
            <w:r>
              <w:lastRenderedPageBreak/>
              <w:t>Solution Updates</w:t>
            </w:r>
          </w:p>
        </w:tc>
        <w:tc>
          <w:tcPr>
            <w:tcW w:w="6565" w:type="dxa"/>
          </w:tcPr>
          <w:p w14:paraId="4DF5DDCF" w14:textId="63C00BE4" w:rsidR="008A36BD" w:rsidRDefault="00F912EA" w:rsidP="00462DB4">
            <w:r w:rsidRPr="00F912EA">
              <w:t>DBO and SME will use best efforts to communicate solution changes within a reasonable time period</w:t>
            </w:r>
            <w:r w:rsidR="00910362">
              <w:t>.</w:t>
            </w:r>
          </w:p>
        </w:tc>
      </w:tr>
    </w:tbl>
    <w:p w14:paraId="1A0F7C06" w14:textId="77777777" w:rsidR="00C16C5D" w:rsidRDefault="00C16C5D" w:rsidP="00690EF5"/>
    <w:p w14:paraId="5F15AF18" w14:textId="3C89FA24" w:rsidR="00BF0624" w:rsidRPr="007C16BE" w:rsidRDefault="00810B4A" w:rsidP="00810B4A">
      <w:pPr>
        <w:pStyle w:val="Heading1"/>
        <w:spacing w:after="120"/>
      </w:pPr>
      <w:r>
        <w:t>Standard Vendor Expectations</w:t>
      </w:r>
    </w:p>
    <w:tbl>
      <w:tblPr>
        <w:tblStyle w:val="TableGrid"/>
        <w:tblW w:w="0" w:type="auto"/>
        <w:tblLook w:val="04A0" w:firstRow="1" w:lastRow="0" w:firstColumn="1" w:lastColumn="0" w:noHBand="0" w:noVBand="1"/>
      </w:tblPr>
      <w:tblGrid>
        <w:gridCol w:w="2785"/>
        <w:gridCol w:w="6565"/>
      </w:tblGrid>
      <w:tr w:rsidR="00BF0624" w:rsidRPr="00D601C3" w14:paraId="240C316F" w14:textId="77777777" w:rsidTr="00BF0624">
        <w:trPr>
          <w:tblHeader/>
        </w:trPr>
        <w:tc>
          <w:tcPr>
            <w:tcW w:w="2785" w:type="dxa"/>
            <w:shd w:val="clear" w:color="auto" w:fill="A6A6A6" w:themeFill="background1" w:themeFillShade="A6"/>
          </w:tcPr>
          <w:p w14:paraId="5DEB1F68" w14:textId="77777777" w:rsidR="00BF0624" w:rsidRPr="00D601C3" w:rsidRDefault="00BF0624" w:rsidP="00462DB4">
            <w:pPr>
              <w:rPr>
                <w:b/>
              </w:rPr>
            </w:pPr>
            <w:r w:rsidRPr="00D601C3">
              <w:rPr>
                <w:b/>
              </w:rPr>
              <w:t>Item</w:t>
            </w:r>
          </w:p>
        </w:tc>
        <w:tc>
          <w:tcPr>
            <w:tcW w:w="6565" w:type="dxa"/>
            <w:shd w:val="clear" w:color="auto" w:fill="A6A6A6" w:themeFill="background1" w:themeFillShade="A6"/>
          </w:tcPr>
          <w:p w14:paraId="2020C402" w14:textId="77777777" w:rsidR="00BF0624" w:rsidRPr="00D601C3" w:rsidRDefault="00BF0624" w:rsidP="00462DB4">
            <w:pPr>
              <w:rPr>
                <w:b/>
              </w:rPr>
            </w:pPr>
            <w:r>
              <w:rPr>
                <w:b/>
              </w:rPr>
              <w:t>Comments</w:t>
            </w:r>
          </w:p>
        </w:tc>
      </w:tr>
      <w:tr w:rsidR="00BF0624" w14:paraId="6F0145E7" w14:textId="77777777" w:rsidTr="00BF0624">
        <w:tc>
          <w:tcPr>
            <w:tcW w:w="2785" w:type="dxa"/>
          </w:tcPr>
          <w:p w14:paraId="02D1255A" w14:textId="77777777" w:rsidR="00BF0624" w:rsidRDefault="00BF0624" w:rsidP="00462DB4">
            <w:r>
              <w:t>Training</w:t>
            </w:r>
          </w:p>
        </w:tc>
        <w:tc>
          <w:tcPr>
            <w:tcW w:w="6565" w:type="dxa"/>
          </w:tcPr>
          <w:p w14:paraId="2C929FC0" w14:textId="175615EE" w:rsidR="00B9240E" w:rsidRDefault="00BF0624" w:rsidP="00B9240E">
            <w:pPr>
              <w:pStyle w:val="ListParagraph"/>
              <w:numPr>
                <w:ilvl w:val="0"/>
                <w:numId w:val="2"/>
              </w:numPr>
              <w:ind w:left="256"/>
            </w:pPr>
            <w:r>
              <w:t xml:space="preserve">All vendor staff </w:t>
            </w:r>
            <w:r w:rsidR="00F912EA">
              <w:t>shall</w:t>
            </w:r>
            <w:r w:rsidR="00B9240E">
              <w:t xml:space="preserve"> receive inventory / inspection training to ensure data quality meets defined ODOT specifications.  </w:t>
            </w:r>
          </w:p>
          <w:p w14:paraId="1007491E" w14:textId="6EA73629" w:rsidR="00BF0624" w:rsidRDefault="00B9240E" w:rsidP="00B9240E">
            <w:pPr>
              <w:pStyle w:val="ListParagraph"/>
              <w:numPr>
                <w:ilvl w:val="0"/>
                <w:numId w:val="2"/>
              </w:numPr>
              <w:ind w:left="256"/>
            </w:pPr>
            <w:r>
              <w:t xml:space="preserve">The vendor </w:t>
            </w:r>
            <w:r w:rsidR="00F912EA">
              <w:t>shall</w:t>
            </w:r>
            <w:r>
              <w:t xml:space="preserve"> </w:t>
            </w:r>
            <w:r w:rsidR="00F912EA">
              <w:t>ensure</w:t>
            </w:r>
            <w:r>
              <w:t xml:space="preserve"> their staff complete any needed training and should be coordinated with ODOT Central Office DBO or District SME as appropriate.</w:t>
            </w:r>
          </w:p>
          <w:p w14:paraId="028CCF81" w14:textId="77777777" w:rsidR="00B9240E" w:rsidRPr="00C16C5D" w:rsidRDefault="00B9240E" w:rsidP="00B9240E">
            <w:pPr>
              <w:pStyle w:val="ListParagraph"/>
              <w:numPr>
                <w:ilvl w:val="0"/>
                <w:numId w:val="2"/>
              </w:numPr>
              <w:ind w:left="256"/>
            </w:pPr>
            <w:r>
              <w:t xml:space="preserve">If updates to a solution occur during a contract period, it is the vendors responsibility to ensure their staff </w:t>
            </w:r>
            <w:r w:rsidR="00780CE6">
              <w:t xml:space="preserve">remain current </w:t>
            </w:r>
          </w:p>
        </w:tc>
      </w:tr>
      <w:tr w:rsidR="00BF0624" w14:paraId="48BF0130" w14:textId="77777777" w:rsidTr="00BF0624">
        <w:tc>
          <w:tcPr>
            <w:tcW w:w="2785" w:type="dxa"/>
          </w:tcPr>
          <w:p w14:paraId="1EE3980C" w14:textId="77777777" w:rsidR="00BF0624" w:rsidRDefault="00A16A70" w:rsidP="00462DB4">
            <w:r>
              <w:t>Data Quality</w:t>
            </w:r>
          </w:p>
        </w:tc>
        <w:tc>
          <w:tcPr>
            <w:tcW w:w="6565" w:type="dxa"/>
          </w:tcPr>
          <w:p w14:paraId="1C4CC8C5" w14:textId="2128CBC0" w:rsidR="00BF0624" w:rsidRPr="00910362" w:rsidRDefault="00910362" w:rsidP="00462DB4">
            <w:r>
              <w:t>Acceptable data quality to be supplied by the vendor will be determined by the DBO.</w:t>
            </w:r>
          </w:p>
        </w:tc>
      </w:tr>
      <w:tr w:rsidR="00481BE2" w14:paraId="68AB9FCD" w14:textId="77777777" w:rsidTr="00BF0624">
        <w:tc>
          <w:tcPr>
            <w:tcW w:w="2785" w:type="dxa"/>
          </w:tcPr>
          <w:p w14:paraId="629D5D2F" w14:textId="77777777" w:rsidR="00481BE2" w:rsidRDefault="00481BE2" w:rsidP="00462DB4">
            <w:r>
              <w:t>Communication</w:t>
            </w:r>
          </w:p>
        </w:tc>
        <w:tc>
          <w:tcPr>
            <w:tcW w:w="6565" w:type="dxa"/>
          </w:tcPr>
          <w:p w14:paraId="4A0CD09B" w14:textId="76DCC99C" w:rsidR="00481BE2" w:rsidRPr="00481BE2" w:rsidRDefault="00481BE2" w:rsidP="00462DB4">
            <w:r>
              <w:t xml:space="preserve">Vendors </w:t>
            </w:r>
            <w:r w:rsidR="00F912EA">
              <w:t>shall</w:t>
            </w:r>
            <w:r>
              <w:t xml:space="preserve"> communicate any concerns or problems with the solution to ensure it can be resolved.  </w:t>
            </w:r>
          </w:p>
        </w:tc>
      </w:tr>
      <w:bookmarkEnd w:id="0"/>
    </w:tbl>
    <w:p w14:paraId="1B1E5EFB" w14:textId="77777777" w:rsidR="00BF0624" w:rsidRPr="00690EF5" w:rsidRDefault="00BF0624" w:rsidP="00690EF5"/>
    <w:sectPr w:rsidR="00BF0624" w:rsidRPr="00690E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AC56" w14:textId="77777777" w:rsidR="00D944B9" w:rsidRDefault="00D944B9" w:rsidP="00FF7ADC">
      <w:pPr>
        <w:spacing w:after="0" w:line="240" w:lineRule="auto"/>
      </w:pPr>
      <w:r>
        <w:separator/>
      </w:r>
    </w:p>
  </w:endnote>
  <w:endnote w:type="continuationSeparator" w:id="0">
    <w:p w14:paraId="4C10D2A3" w14:textId="77777777" w:rsidR="00D944B9" w:rsidRDefault="00D944B9" w:rsidP="00FF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647375"/>
      <w:docPartObj>
        <w:docPartGallery w:val="Page Numbers (Bottom of Page)"/>
        <w:docPartUnique/>
      </w:docPartObj>
    </w:sdtPr>
    <w:sdtEndPr>
      <w:rPr>
        <w:color w:val="7F7F7F" w:themeColor="background1" w:themeShade="7F"/>
        <w:spacing w:val="60"/>
      </w:rPr>
    </w:sdtEndPr>
    <w:sdtContent>
      <w:p w14:paraId="1FF71AB3" w14:textId="62DF47DC" w:rsidR="00D635CC" w:rsidRDefault="00D635CC">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1380">
          <w:rPr>
            <w:noProof/>
          </w:rPr>
          <w:t>3</w:t>
        </w:r>
        <w:r>
          <w:rPr>
            <w:noProof/>
          </w:rPr>
          <w:fldChar w:fldCharType="end"/>
        </w:r>
        <w:r>
          <w:t xml:space="preserve"> | </w:t>
        </w:r>
        <w:r>
          <w:rPr>
            <w:color w:val="7F7F7F" w:themeColor="background1" w:themeShade="7F"/>
            <w:spacing w:val="60"/>
          </w:rPr>
          <w:t>Page</w:t>
        </w:r>
      </w:p>
    </w:sdtContent>
  </w:sdt>
  <w:p w14:paraId="552A0871" w14:textId="77777777" w:rsidR="00F05A42" w:rsidRDefault="00F05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3FE2" w14:textId="77777777" w:rsidR="00D944B9" w:rsidRDefault="00D944B9" w:rsidP="00FF7ADC">
      <w:pPr>
        <w:spacing w:after="0" w:line="240" w:lineRule="auto"/>
      </w:pPr>
      <w:r>
        <w:separator/>
      </w:r>
    </w:p>
  </w:footnote>
  <w:footnote w:type="continuationSeparator" w:id="0">
    <w:p w14:paraId="731948CB" w14:textId="77777777" w:rsidR="00D944B9" w:rsidRDefault="00D944B9" w:rsidP="00FF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E4B18" w14:textId="14BA7B82" w:rsidR="00FF7ADC" w:rsidRPr="00FF7ADC" w:rsidRDefault="00B01841" w:rsidP="00B01841">
    <w:pPr>
      <w:pStyle w:val="Heading1"/>
      <w:spacing w:before="120" w:after="240"/>
      <w:jc w:val="center"/>
    </w:pPr>
    <w:r>
      <w:rPr>
        <w:noProof/>
      </w:rPr>
      <mc:AlternateContent>
        <mc:Choice Requires="wps">
          <w:drawing>
            <wp:anchor distT="0" distB="0" distL="114300" distR="114300" simplePos="0" relativeHeight="251659264" behindDoc="0" locked="0" layoutInCell="1" allowOverlap="1" wp14:anchorId="5120F3BB" wp14:editId="18823221">
              <wp:simplePos x="0" y="0"/>
              <wp:positionH relativeFrom="column">
                <wp:posOffset>-9526</wp:posOffset>
              </wp:positionH>
              <wp:positionV relativeFrom="paragraph">
                <wp:posOffset>409575</wp:posOffset>
              </wp:positionV>
              <wp:extent cx="5934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88F28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32.25pt" to="466.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" strokecolor="#d8d8d8 [2732]" strokeweight=".5pt">
              <v:stroke joinstyle="miter"/>
            </v:line>
          </w:pict>
        </mc:Fallback>
      </mc:AlternateContent>
    </w:r>
    <w:r w:rsidR="00FF7ADC" w:rsidRPr="00FF7ADC">
      <w:t xml:space="preserve">ODOT </w:t>
    </w:r>
    <w:r w:rsidR="00BA6DAA">
      <w:t>Field Data Collection Technology Terms &amp; Conditions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31E5F"/>
    <w:multiLevelType w:val="hybridMultilevel"/>
    <w:tmpl w:val="C9F4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ED6670"/>
    <w:multiLevelType w:val="hybridMultilevel"/>
    <w:tmpl w:val="68FA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DC"/>
    <w:rsid w:val="001069C5"/>
    <w:rsid w:val="00161B48"/>
    <w:rsid w:val="0016444A"/>
    <w:rsid w:val="001B4057"/>
    <w:rsid w:val="002071E6"/>
    <w:rsid w:val="00284299"/>
    <w:rsid w:val="00361327"/>
    <w:rsid w:val="00481BE2"/>
    <w:rsid w:val="004D5255"/>
    <w:rsid w:val="005113EA"/>
    <w:rsid w:val="00561380"/>
    <w:rsid w:val="00562FFF"/>
    <w:rsid w:val="005C2D80"/>
    <w:rsid w:val="005C501E"/>
    <w:rsid w:val="005F18CB"/>
    <w:rsid w:val="00607409"/>
    <w:rsid w:val="00624364"/>
    <w:rsid w:val="0063026E"/>
    <w:rsid w:val="00634B3E"/>
    <w:rsid w:val="0063757A"/>
    <w:rsid w:val="00690EF5"/>
    <w:rsid w:val="007620AB"/>
    <w:rsid w:val="00780CE6"/>
    <w:rsid w:val="007B3CEA"/>
    <w:rsid w:val="007C16BE"/>
    <w:rsid w:val="007C2284"/>
    <w:rsid w:val="007D78C0"/>
    <w:rsid w:val="00810B4A"/>
    <w:rsid w:val="00831ED1"/>
    <w:rsid w:val="008455AB"/>
    <w:rsid w:val="008460D3"/>
    <w:rsid w:val="008A36BD"/>
    <w:rsid w:val="00910362"/>
    <w:rsid w:val="00933F7A"/>
    <w:rsid w:val="00A16A70"/>
    <w:rsid w:val="00A70E0A"/>
    <w:rsid w:val="00B01841"/>
    <w:rsid w:val="00B217CB"/>
    <w:rsid w:val="00B35BA7"/>
    <w:rsid w:val="00B677A0"/>
    <w:rsid w:val="00B9240E"/>
    <w:rsid w:val="00BA6DAA"/>
    <w:rsid w:val="00BF0624"/>
    <w:rsid w:val="00C16C5D"/>
    <w:rsid w:val="00D06B6C"/>
    <w:rsid w:val="00D1059C"/>
    <w:rsid w:val="00D601C3"/>
    <w:rsid w:val="00D635CC"/>
    <w:rsid w:val="00D70FAD"/>
    <w:rsid w:val="00D944B9"/>
    <w:rsid w:val="00DB4FEA"/>
    <w:rsid w:val="00DC41B8"/>
    <w:rsid w:val="00DD528F"/>
    <w:rsid w:val="00DE4A66"/>
    <w:rsid w:val="00E12C2A"/>
    <w:rsid w:val="00E705F9"/>
    <w:rsid w:val="00ED27A0"/>
    <w:rsid w:val="00EF67CE"/>
    <w:rsid w:val="00EF683C"/>
    <w:rsid w:val="00F05A42"/>
    <w:rsid w:val="00F22B1E"/>
    <w:rsid w:val="00F912EA"/>
    <w:rsid w:val="00FB7721"/>
    <w:rsid w:val="00FF7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28942"/>
  <w15:chartTrackingRefBased/>
  <w15:docId w15:val="{ACEA130B-56AB-4530-8041-BF28EC7A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35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ADC"/>
  </w:style>
  <w:style w:type="paragraph" w:styleId="Footer">
    <w:name w:val="footer"/>
    <w:basedOn w:val="Normal"/>
    <w:link w:val="FooterChar"/>
    <w:uiPriority w:val="99"/>
    <w:unhideWhenUsed/>
    <w:rsid w:val="00FF7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ADC"/>
  </w:style>
  <w:style w:type="paragraph" w:styleId="ListParagraph">
    <w:name w:val="List Paragraph"/>
    <w:basedOn w:val="Normal"/>
    <w:uiPriority w:val="34"/>
    <w:qFormat/>
    <w:rsid w:val="00DC41B8"/>
    <w:pPr>
      <w:ind w:left="720"/>
      <w:contextualSpacing/>
    </w:pPr>
  </w:style>
  <w:style w:type="table" w:styleId="TableGrid">
    <w:name w:val="Table Grid"/>
    <w:basedOn w:val="TableNormal"/>
    <w:uiPriority w:val="39"/>
    <w:rsid w:val="00D6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01C3"/>
    <w:rPr>
      <w:color w:val="0563C1" w:themeColor="hyperlink"/>
      <w:u w:val="single"/>
    </w:rPr>
  </w:style>
  <w:style w:type="character" w:customStyle="1" w:styleId="UnresolvedMention">
    <w:name w:val="Unresolved Mention"/>
    <w:basedOn w:val="DefaultParagraphFont"/>
    <w:uiPriority w:val="99"/>
    <w:semiHidden/>
    <w:unhideWhenUsed/>
    <w:rsid w:val="00D601C3"/>
    <w:rPr>
      <w:color w:val="808080"/>
      <w:shd w:val="clear" w:color="auto" w:fill="E6E6E6"/>
    </w:rPr>
  </w:style>
  <w:style w:type="character" w:styleId="CommentReference">
    <w:name w:val="annotation reference"/>
    <w:basedOn w:val="DefaultParagraphFont"/>
    <w:uiPriority w:val="99"/>
    <w:semiHidden/>
    <w:unhideWhenUsed/>
    <w:rsid w:val="008455AB"/>
    <w:rPr>
      <w:sz w:val="16"/>
      <w:szCs w:val="16"/>
    </w:rPr>
  </w:style>
  <w:style w:type="paragraph" w:styleId="CommentText">
    <w:name w:val="annotation text"/>
    <w:basedOn w:val="Normal"/>
    <w:link w:val="CommentTextChar"/>
    <w:uiPriority w:val="99"/>
    <w:semiHidden/>
    <w:unhideWhenUsed/>
    <w:rsid w:val="008455AB"/>
    <w:pPr>
      <w:spacing w:line="240" w:lineRule="auto"/>
    </w:pPr>
    <w:rPr>
      <w:sz w:val="20"/>
      <w:szCs w:val="20"/>
    </w:rPr>
  </w:style>
  <w:style w:type="character" w:customStyle="1" w:styleId="CommentTextChar">
    <w:name w:val="Comment Text Char"/>
    <w:basedOn w:val="DefaultParagraphFont"/>
    <w:link w:val="CommentText"/>
    <w:uiPriority w:val="99"/>
    <w:semiHidden/>
    <w:rsid w:val="008455AB"/>
    <w:rPr>
      <w:sz w:val="20"/>
      <w:szCs w:val="20"/>
    </w:rPr>
  </w:style>
  <w:style w:type="paragraph" w:styleId="CommentSubject">
    <w:name w:val="annotation subject"/>
    <w:basedOn w:val="CommentText"/>
    <w:next w:val="CommentText"/>
    <w:link w:val="CommentSubjectChar"/>
    <w:uiPriority w:val="99"/>
    <w:semiHidden/>
    <w:unhideWhenUsed/>
    <w:rsid w:val="008455AB"/>
    <w:rPr>
      <w:b/>
      <w:bCs/>
    </w:rPr>
  </w:style>
  <w:style w:type="character" w:customStyle="1" w:styleId="CommentSubjectChar">
    <w:name w:val="Comment Subject Char"/>
    <w:basedOn w:val="CommentTextChar"/>
    <w:link w:val="CommentSubject"/>
    <w:uiPriority w:val="99"/>
    <w:semiHidden/>
    <w:rsid w:val="008455AB"/>
    <w:rPr>
      <w:b/>
      <w:bCs/>
      <w:sz w:val="20"/>
      <w:szCs w:val="20"/>
    </w:rPr>
  </w:style>
  <w:style w:type="paragraph" w:styleId="BalloonText">
    <w:name w:val="Balloon Text"/>
    <w:basedOn w:val="Normal"/>
    <w:link w:val="BalloonTextChar"/>
    <w:uiPriority w:val="99"/>
    <w:semiHidden/>
    <w:unhideWhenUsed/>
    <w:rsid w:val="00845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5AB"/>
    <w:rPr>
      <w:rFonts w:ascii="Segoe UI" w:hAnsi="Segoe UI" w:cs="Segoe UI"/>
      <w:sz w:val="18"/>
      <w:szCs w:val="18"/>
    </w:rPr>
  </w:style>
  <w:style w:type="character" w:customStyle="1" w:styleId="Heading1Char">
    <w:name w:val="Heading 1 Char"/>
    <w:basedOn w:val="DefaultParagraphFont"/>
    <w:link w:val="Heading1"/>
    <w:uiPriority w:val="9"/>
    <w:rsid w:val="00D635C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odot.dot.state.oh.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D528BE6D1E5643B0A825B81B9DD5E3" ma:contentTypeVersion="0" ma:contentTypeDescription="Create a new document." ma:contentTypeScope="" ma:versionID="97937172c638610676915f61fcbb5c0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D4068-C32E-40A3-93F8-492B11640125}">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678E070-879C-4E40-959B-0849F52FCDCF}">
  <ds:schemaRefs>
    <ds:schemaRef ds:uri="http://schemas.microsoft.com/sharepoint/v3/contenttype/forms"/>
  </ds:schemaRefs>
</ds:datastoreItem>
</file>

<file path=customXml/itemProps3.xml><?xml version="1.0" encoding="utf-8"?>
<ds:datastoreItem xmlns:ds="http://schemas.openxmlformats.org/officeDocument/2006/customXml" ds:itemID="{1853B8E5-AB09-4AD2-A4C5-2C6B9BC6C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9A5BDF-AB28-4B4A-9B7F-8C38B629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Kidner, Ian</dc:creator>
  <cp:keywords/>
  <dc:description/>
  <cp:lastModifiedBy>Michael Weakley</cp:lastModifiedBy>
  <cp:revision>2</cp:revision>
  <dcterms:created xsi:type="dcterms:W3CDTF">2021-08-17T17:46:00Z</dcterms:created>
  <dcterms:modified xsi:type="dcterms:W3CDTF">2021-08-17T17:46:00Z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0x010100B6D528BE6D1E5643B0A825B81B9DD5E3</vt:lpwstr>
  </property>
</Properties>
</file>