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1D" w:rsidRDefault="0079721D" w:rsidP="0079721D">
      <w:pPr>
        <w:rPr>
          <w:sz w:val="22"/>
          <w:szCs w:val="22"/>
        </w:rPr>
      </w:pPr>
      <w:r>
        <w:rPr>
          <w:b/>
          <w:bCs/>
          <w:sz w:val="22"/>
          <w:szCs w:val="22"/>
          <w:u w:val="single"/>
        </w:rPr>
        <w:t>ITEM SPECIAL - ASBESTOS ABATEMENT</w:t>
      </w:r>
    </w:p>
    <w:p w:rsidR="0079721D" w:rsidRDefault="0079721D" w:rsidP="0079721D">
      <w:pPr>
        <w:rPr>
          <w:sz w:val="22"/>
          <w:szCs w:val="22"/>
        </w:rPr>
      </w:pPr>
    </w:p>
    <w:p w:rsidR="0079721D" w:rsidRDefault="0079721D" w:rsidP="0079721D">
      <w:pPr>
        <w:jc w:val="both"/>
        <w:rPr>
          <w:sz w:val="21"/>
          <w:szCs w:val="21"/>
        </w:rPr>
      </w:pPr>
      <w:r>
        <w:rPr>
          <w:sz w:val="21"/>
          <w:szCs w:val="21"/>
        </w:rPr>
        <w:t xml:space="preserve">An asbestos surveys was conducted on the </w:t>
      </w:r>
      <w:r w:rsidR="00EF22FC">
        <w:rPr>
          <w:color w:val="FF0000"/>
          <w:sz w:val="21"/>
          <w:szCs w:val="21"/>
        </w:rPr>
        <w:t>Newell</w:t>
      </w:r>
      <w:r w:rsidR="008B69C9" w:rsidRPr="008B69C9">
        <w:rPr>
          <w:color w:val="FF0000"/>
          <w:sz w:val="21"/>
          <w:szCs w:val="21"/>
        </w:rPr>
        <w:t xml:space="preserve"> Street </w:t>
      </w:r>
      <w:r w:rsidR="009A33A6" w:rsidRPr="008B69C9">
        <w:rPr>
          <w:bCs/>
          <w:color w:val="FF0000"/>
        </w:rPr>
        <w:t xml:space="preserve"> </w:t>
      </w:r>
      <w:r w:rsidR="00757D69" w:rsidRPr="009A33A6">
        <w:rPr>
          <w:bCs/>
          <w:color w:val="FF0000"/>
        </w:rPr>
        <w:t xml:space="preserve">over </w:t>
      </w:r>
      <w:r w:rsidR="008B69C9">
        <w:rPr>
          <w:bCs/>
          <w:color w:val="FF0000"/>
        </w:rPr>
        <w:t>SR-2</w:t>
      </w:r>
      <w:r>
        <w:rPr>
          <w:sz w:val="21"/>
          <w:szCs w:val="21"/>
        </w:rPr>
        <w:t xml:space="preserve"> and was completed on XXXX XX, XXXX  by a certified asbestos hazard evaluation specialist from XXXXXXX XXXX  The survey identified the asbestos containing materials at the location listed in the chart below.</w:t>
      </w:r>
    </w:p>
    <w:p w:rsidR="0079721D" w:rsidRDefault="0079721D" w:rsidP="0079721D">
      <w:pPr>
        <w:jc w:val="both"/>
        <w:rPr>
          <w:sz w:val="21"/>
          <w:szCs w:val="21"/>
        </w:rPr>
      </w:pPr>
    </w:p>
    <w:p w:rsidR="0079721D" w:rsidRDefault="0079721D" w:rsidP="0079721D">
      <w:pPr>
        <w:tabs>
          <w:tab w:val="left" w:pos="-1440"/>
        </w:tabs>
        <w:ind w:left="4320" w:hanging="4320"/>
        <w:jc w:val="both"/>
        <w:rPr>
          <w:b/>
          <w:bCs/>
          <w:sz w:val="21"/>
          <w:szCs w:val="21"/>
          <w:u w:val="single"/>
        </w:rPr>
      </w:pPr>
    </w:p>
    <w:p w:rsidR="0079721D" w:rsidRDefault="0079721D" w:rsidP="0079721D">
      <w:pPr>
        <w:jc w:val="both"/>
        <w:rPr>
          <w:sz w:val="21"/>
          <w:szCs w:val="21"/>
        </w:rPr>
      </w:pPr>
      <w:r>
        <w:rPr>
          <w:b/>
          <w:bCs/>
          <w:sz w:val="21"/>
          <w:szCs w:val="21"/>
          <w:u w:val="single"/>
        </w:rPr>
        <w:t>Insert Attached Table</w:t>
      </w:r>
      <w:r>
        <w:rPr>
          <w:sz w:val="21"/>
          <w:szCs w:val="21"/>
        </w:rPr>
        <w:tab/>
      </w:r>
    </w:p>
    <w:tbl>
      <w:tblPr>
        <w:tblW w:w="9468" w:type="dxa"/>
        <w:tblInd w:w="92" w:type="dxa"/>
        <w:tblLayout w:type="fixed"/>
        <w:tblLook w:val="04A0" w:firstRow="1" w:lastRow="0" w:firstColumn="1" w:lastColumn="0" w:noHBand="0" w:noVBand="1"/>
      </w:tblPr>
      <w:tblGrid>
        <w:gridCol w:w="1277"/>
        <w:gridCol w:w="2251"/>
        <w:gridCol w:w="1170"/>
        <w:gridCol w:w="1890"/>
        <w:gridCol w:w="1260"/>
        <w:gridCol w:w="1620"/>
      </w:tblGrid>
      <w:tr w:rsidR="0079721D" w:rsidTr="0079721D">
        <w:trPr>
          <w:trHeight w:val="651"/>
        </w:trPr>
        <w:tc>
          <w:tcPr>
            <w:tcW w:w="1276" w:type="dxa"/>
            <w:tcBorders>
              <w:top w:val="single" w:sz="4" w:space="0" w:color="auto"/>
              <w:left w:val="single" w:sz="4" w:space="0" w:color="auto"/>
              <w:bottom w:val="single" w:sz="12" w:space="0" w:color="auto"/>
              <w:right w:val="single" w:sz="4" w:space="0" w:color="auto"/>
            </w:tcBorders>
            <w:noWrap/>
            <w:vAlign w:val="bottom"/>
            <w:hideMark/>
          </w:tcPr>
          <w:p w:rsidR="0079721D" w:rsidRDefault="0079721D">
            <w:pPr>
              <w:autoSpaceDE/>
              <w:adjustRightInd/>
              <w:jc w:val="center"/>
              <w:rPr>
                <w:rFonts w:ascii="Arial" w:hAnsi="Arial" w:cs="Arial"/>
                <w:b/>
                <w:bCs/>
              </w:rPr>
            </w:pPr>
            <w:r>
              <w:rPr>
                <w:rFonts w:ascii="Arial" w:hAnsi="Arial" w:cs="Arial"/>
                <w:b/>
                <w:bCs/>
              </w:rPr>
              <w:t>Bridge</w:t>
            </w:r>
          </w:p>
        </w:tc>
        <w:tc>
          <w:tcPr>
            <w:tcW w:w="2250" w:type="dxa"/>
            <w:tcBorders>
              <w:top w:val="single" w:sz="4" w:space="0" w:color="auto"/>
              <w:left w:val="nil"/>
              <w:bottom w:val="single" w:sz="12" w:space="0" w:color="auto"/>
              <w:right w:val="nil"/>
            </w:tcBorders>
          </w:tcPr>
          <w:p w:rsidR="0079721D" w:rsidRDefault="0079721D">
            <w:pPr>
              <w:autoSpaceDE/>
              <w:adjustRightInd/>
              <w:jc w:val="center"/>
              <w:rPr>
                <w:rFonts w:ascii="Arial" w:hAnsi="Arial" w:cs="Arial"/>
                <w:b/>
                <w:bCs/>
              </w:rPr>
            </w:pPr>
          </w:p>
          <w:p w:rsidR="0079721D" w:rsidRDefault="0079721D">
            <w:pPr>
              <w:autoSpaceDE/>
              <w:adjustRightInd/>
              <w:jc w:val="center"/>
              <w:rPr>
                <w:rFonts w:ascii="Arial" w:hAnsi="Arial" w:cs="Arial"/>
                <w:b/>
                <w:bCs/>
              </w:rPr>
            </w:pPr>
          </w:p>
          <w:p w:rsidR="0079721D" w:rsidRDefault="0079721D">
            <w:pPr>
              <w:autoSpaceDE/>
              <w:adjustRightInd/>
              <w:jc w:val="center"/>
              <w:rPr>
                <w:rFonts w:ascii="Arial" w:hAnsi="Arial" w:cs="Arial"/>
                <w:b/>
                <w:bCs/>
              </w:rPr>
            </w:pPr>
            <w:r>
              <w:rPr>
                <w:rFonts w:ascii="Arial" w:hAnsi="Arial" w:cs="Arial"/>
                <w:b/>
                <w:bCs/>
              </w:rPr>
              <w:t>Description</w:t>
            </w:r>
          </w:p>
        </w:tc>
        <w:tc>
          <w:tcPr>
            <w:tcW w:w="1170" w:type="dxa"/>
            <w:tcBorders>
              <w:top w:val="single" w:sz="4" w:space="0" w:color="auto"/>
              <w:left w:val="nil"/>
              <w:bottom w:val="single" w:sz="12" w:space="0" w:color="auto"/>
              <w:right w:val="nil"/>
            </w:tcBorders>
          </w:tcPr>
          <w:p w:rsidR="0079721D" w:rsidRDefault="0079721D">
            <w:pPr>
              <w:autoSpaceDE/>
              <w:adjustRightInd/>
              <w:jc w:val="center"/>
              <w:rPr>
                <w:rFonts w:ascii="Arial" w:hAnsi="Arial" w:cs="Arial"/>
                <w:b/>
                <w:bCs/>
              </w:rPr>
            </w:pPr>
          </w:p>
          <w:p w:rsidR="0079721D" w:rsidRDefault="0079721D">
            <w:pPr>
              <w:autoSpaceDE/>
              <w:adjustRightInd/>
              <w:jc w:val="center"/>
              <w:rPr>
                <w:rFonts w:ascii="Arial" w:hAnsi="Arial" w:cs="Arial"/>
                <w:b/>
                <w:bCs/>
              </w:rPr>
            </w:pPr>
            <w:bookmarkStart w:id="0" w:name="_GoBack"/>
            <w:bookmarkEnd w:id="0"/>
          </w:p>
          <w:p w:rsidR="0079721D" w:rsidRDefault="0079721D">
            <w:pPr>
              <w:autoSpaceDE/>
              <w:adjustRightInd/>
              <w:jc w:val="center"/>
              <w:rPr>
                <w:rFonts w:ascii="Arial" w:hAnsi="Arial" w:cs="Arial"/>
                <w:b/>
                <w:bCs/>
              </w:rPr>
            </w:pPr>
            <w:r>
              <w:rPr>
                <w:rFonts w:ascii="Arial" w:hAnsi="Arial" w:cs="Arial"/>
                <w:b/>
                <w:bCs/>
              </w:rPr>
              <w:t>SFN</w:t>
            </w:r>
          </w:p>
        </w:tc>
        <w:tc>
          <w:tcPr>
            <w:tcW w:w="1890" w:type="dxa"/>
            <w:tcBorders>
              <w:top w:val="single" w:sz="4" w:space="0" w:color="auto"/>
              <w:left w:val="nil"/>
              <w:bottom w:val="single" w:sz="12" w:space="0" w:color="auto"/>
              <w:right w:val="single" w:sz="4" w:space="0" w:color="auto"/>
            </w:tcBorders>
            <w:noWrap/>
            <w:vAlign w:val="bottom"/>
            <w:hideMark/>
          </w:tcPr>
          <w:p w:rsidR="0079721D" w:rsidRDefault="0079721D">
            <w:pPr>
              <w:autoSpaceDE/>
              <w:adjustRightInd/>
              <w:rPr>
                <w:rFonts w:ascii="Arial" w:hAnsi="Arial" w:cs="Arial"/>
                <w:b/>
                <w:bCs/>
              </w:rPr>
            </w:pPr>
            <w:r>
              <w:rPr>
                <w:rFonts w:ascii="Arial" w:hAnsi="Arial" w:cs="Arial"/>
                <w:b/>
                <w:bCs/>
              </w:rPr>
              <w:t>ACM</w:t>
            </w:r>
          </w:p>
        </w:tc>
        <w:tc>
          <w:tcPr>
            <w:tcW w:w="1260" w:type="dxa"/>
            <w:tcBorders>
              <w:top w:val="single" w:sz="4" w:space="0" w:color="auto"/>
              <w:left w:val="nil"/>
              <w:bottom w:val="single" w:sz="12" w:space="0" w:color="auto"/>
              <w:right w:val="single" w:sz="4" w:space="0" w:color="auto"/>
            </w:tcBorders>
            <w:noWrap/>
            <w:vAlign w:val="bottom"/>
            <w:hideMark/>
          </w:tcPr>
          <w:p w:rsidR="0079721D" w:rsidRDefault="0079721D">
            <w:pPr>
              <w:autoSpaceDE/>
              <w:adjustRightInd/>
              <w:rPr>
                <w:rFonts w:ascii="Arial" w:hAnsi="Arial" w:cs="Arial"/>
                <w:b/>
                <w:bCs/>
              </w:rPr>
            </w:pPr>
            <w:r>
              <w:rPr>
                <w:rFonts w:ascii="Arial" w:hAnsi="Arial" w:cs="Arial"/>
                <w:b/>
                <w:bCs/>
              </w:rPr>
              <w:t>Location</w:t>
            </w:r>
          </w:p>
        </w:tc>
        <w:tc>
          <w:tcPr>
            <w:tcW w:w="1620" w:type="dxa"/>
            <w:tcBorders>
              <w:top w:val="single" w:sz="4" w:space="0" w:color="auto"/>
              <w:left w:val="nil"/>
              <w:bottom w:val="single" w:sz="12" w:space="0" w:color="auto"/>
              <w:right w:val="single" w:sz="4" w:space="0" w:color="auto"/>
            </w:tcBorders>
            <w:noWrap/>
            <w:vAlign w:val="bottom"/>
            <w:hideMark/>
          </w:tcPr>
          <w:p w:rsidR="0079721D" w:rsidRDefault="0079721D">
            <w:pPr>
              <w:autoSpaceDE/>
              <w:adjustRightInd/>
              <w:rPr>
                <w:rFonts w:ascii="Arial" w:hAnsi="Arial" w:cs="Arial"/>
                <w:b/>
                <w:bCs/>
                <w:sz w:val="18"/>
                <w:szCs w:val="18"/>
              </w:rPr>
            </w:pPr>
            <w:r>
              <w:rPr>
                <w:rFonts w:ascii="Arial" w:hAnsi="Arial" w:cs="Arial"/>
                <w:b/>
                <w:bCs/>
                <w:sz w:val="18"/>
                <w:szCs w:val="18"/>
              </w:rPr>
              <w:t xml:space="preserve">Amount to be removed </w:t>
            </w:r>
          </w:p>
        </w:tc>
      </w:tr>
      <w:tr w:rsidR="0079721D" w:rsidTr="0079721D">
        <w:trPr>
          <w:trHeight w:val="315"/>
        </w:trPr>
        <w:tc>
          <w:tcPr>
            <w:tcW w:w="1276" w:type="dxa"/>
            <w:tcBorders>
              <w:top w:val="single" w:sz="12" w:space="0" w:color="auto"/>
              <w:left w:val="single" w:sz="12" w:space="0" w:color="auto"/>
              <w:bottom w:val="single" w:sz="4" w:space="0" w:color="auto"/>
              <w:right w:val="single" w:sz="4" w:space="0" w:color="auto"/>
            </w:tcBorders>
            <w:noWrap/>
            <w:vAlign w:val="bottom"/>
            <w:hideMark/>
          </w:tcPr>
          <w:p w:rsidR="0079721D" w:rsidRDefault="009A33A6" w:rsidP="00EF22FC">
            <w:pPr>
              <w:autoSpaceDE/>
              <w:adjustRightInd/>
              <w:jc w:val="center"/>
              <w:rPr>
                <w:b/>
                <w:bCs/>
                <w:color w:val="FF0000"/>
                <w:sz w:val="16"/>
                <w:szCs w:val="16"/>
              </w:rPr>
            </w:pPr>
            <w:r>
              <w:rPr>
                <w:b/>
                <w:bCs/>
                <w:color w:val="FF0000"/>
                <w:sz w:val="16"/>
                <w:szCs w:val="16"/>
              </w:rPr>
              <w:t>LAK</w:t>
            </w:r>
            <w:r w:rsidR="00523194">
              <w:rPr>
                <w:b/>
                <w:bCs/>
                <w:color w:val="FF0000"/>
                <w:sz w:val="16"/>
                <w:szCs w:val="16"/>
              </w:rPr>
              <w:t>-</w:t>
            </w:r>
            <w:r w:rsidR="008B69C9">
              <w:rPr>
                <w:b/>
                <w:bCs/>
                <w:color w:val="FF0000"/>
                <w:sz w:val="16"/>
                <w:szCs w:val="16"/>
              </w:rPr>
              <w:t>2</w:t>
            </w:r>
            <w:r w:rsidR="00523194">
              <w:rPr>
                <w:b/>
                <w:bCs/>
                <w:color w:val="FF0000"/>
                <w:sz w:val="16"/>
                <w:szCs w:val="16"/>
              </w:rPr>
              <w:t>-</w:t>
            </w:r>
            <w:r w:rsidR="00EF22FC">
              <w:rPr>
                <w:b/>
                <w:bCs/>
                <w:color w:val="FF0000"/>
                <w:sz w:val="16"/>
                <w:szCs w:val="16"/>
              </w:rPr>
              <w:t>14</w:t>
            </w:r>
            <w:r w:rsidR="008B69C9">
              <w:rPr>
                <w:b/>
                <w:bCs/>
                <w:color w:val="FF0000"/>
                <w:sz w:val="16"/>
                <w:szCs w:val="16"/>
              </w:rPr>
              <w:t>.</w:t>
            </w:r>
            <w:r w:rsidR="00EF22FC">
              <w:rPr>
                <w:b/>
                <w:bCs/>
                <w:color w:val="FF0000"/>
                <w:sz w:val="16"/>
                <w:szCs w:val="16"/>
              </w:rPr>
              <w:t>28</w:t>
            </w:r>
          </w:p>
        </w:tc>
        <w:tc>
          <w:tcPr>
            <w:tcW w:w="2250" w:type="dxa"/>
            <w:tcBorders>
              <w:top w:val="single" w:sz="12" w:space="0" w:color="auto"/>
              <w:left w:val="single" w:sz="4" w:space="0" w:color="auto"/>
              <w:bottom w:val="single" w:sz="4" w:space="0" w:color="auto"/>
              <w:right w:val="single" w:sz="4" w:space="0" w:color="auto"/>
            </w:tcBorders>
            <w:vAlign w:val="bottom"/>
            <w:hideMark/>
          </w:tcPr>
          <w:p w:rsidR="0079721D" w:rsidRPr="009A33A6" w:rsidRDefault="00EF22FC" w:rsidP="008B69C9">
            <w:pPr>
              <w:autoSpaceDE/>
              <w:adjustRightInd/>
              <w:rPr>
                <w:rFonts w:ascii="Arial" w:hAnsi="Arial" w:cs="Arial"/>
                <w:bCs/>
                <w:color w:val="FF0000"/>
                <w:sz w:val="16"/>
                <w:szCs w:val="16"/>
              </w:rPr>
            </w:pPr>
            <w:r>
              <w:rPr>
                <w:rFonts w:ascii="Arial" w:hAnsi="Arial" w:cs="Arial"/>
                <w:bCs/>
                <w:color w:val="FF0000"/>
                <w:sz w:val="16"/>
                <w:szCs w:val="16"/>
              </w:rPr>
              <w:t>Newell</w:t>
            </w:r>
            <w:r w:rsidR="008B69C9">
              <w:rPr>
                <w:rFonts w:ascii="Arial" w:hAnsi="Arial" w:cs="Arial"/>
                <w:bCs/>
                <w:color w:val="FF0000"/>
                <w:sz w:val="16"/>
                <w:szCs w:val="16"/>
              </w:rPr>
              <w:t xml:space="preserve"> Street over SR 2</w:t>
            </w:r>
          </w:p>
        </w:tc>
        <w:tc>
          <w:tcPr>
            <w:tcW w:w="1170" w:type="dxa"/>
            <w:tcBorders>
              <w:top w:val="single" w:sz="12" w:space="0" w:color="auto"/>
              <w:left w:val="single" w:sz="4" w:space="0" w:color="auto"/>
              <w:bottom w:val="single" w:sz="4" w:space="0" w:color="auto"/>
              <w:right w:val="single" w:sz="4" w:space="0" w:color="auto"/>
            </w:tcBorders>
            <w:vAlign w:val="bottom"/>
            <w:hideMark/>
          </w:tcPr>
          <w:p w:rsidR="008B69C9" w:rsidRDefault="00EF22FC">
            <w:pPr>
              <w:autoSpaceDE/>
              <w:adjustRightInd/>
              <w:rPr>
                <w:color w:val="FF0000"/>
                <w:sz w:val="16"/>
                <w:szCs w:val="16"/>
              </w:rPr>
            </w:pPr>
            <w:r>
              <w:rPr>
                <w:color w:val="FF0000"/>
                <w:sz w:val="16"/>
                <w:szCs w:val="16"/>
              </w:rPr>
              <w:t>4301358</w:t>
            </w:r>
          </w:p>
        </w:tc>
        <w:tc>
          <w:tcPr>
            <w:tcW w:w="1890" w:type="dxa"/>
            <w:tcBorders>
              <w:top w:val="single" w:sz="12" w:space="0" w:color="auto"/>
              <w:left w:val="single" w:sz="4" w:space="0" w:color="auto"/>
              <w:bottom w:val="single" w:sz="4" w:space="0" w:color="auto"/>
              <w:right w:val="single" w:sz="4" w:space="0" w:color="auto"/>
            </w:tcBorders>
            <w:noWrap/>
            <w:vAlign w:val="bottom"/>
            <w:hideMark/>
          </w:tcPr>
          <w:p w:rsidR="0079721D" w:rsidRDefault="0079721D">
            <w:pPr>
              <w:autoSpaceDE/>
              <w:adjustRightInd/>
              <w:jc w:val="both"/>
              <w:rPr>
                <w:color w:val="FF0000"/>
                <w:sz w:val="16"/>
                <w:szCs w:val="16"/>
              </w:rPr>
            </w:pPr>
            <w:r>
              <w:rPr>
                <w:color w:val="FF0000"/>
                <w:sz w:val="16"/>
                <w:szCs w:val="16"/>
              </w:rPr>
              <w:t>XXXXXX</w:t>
            </w:r>
          </w:p>
        </w:tc>
        <w:tc>
          <w:tcPr>
            <w:tcW w:w="1260" w:type="dxa"/>
            <w:tcBorders>
              <w:top w:val="single" w:sz="12" w:space="0" w:color="auto"/>
              <w:left w:val="single" w:sz="4" w:space="0" w:color="auto"/>
              <w:bottom w:val="single" w:sz="4" w:space="0" w:color="auto"/>
              <w:right w:val="single" w:sz="4" w:space="0" w:color="auto"/>
            </w:tcBorders>
            <w:noWrap/>
            <w:vAlign w:val="bottom"/>
            <w:hideMark/>
          </w:tcPr>
          <w:p w:rsidR="0079721D" w:rsidRDefault="0079721D">
            <w:pPr>
              <w:autoSpaceDE/>
              <w:adjustRightInd/>
              <w:rPr>
                <w:color w:val="FF0000"/>
                <w:sz w:val="16"/>
                <w:szCs w:val="16"/>
              </w:rPr>
            </w:pPr>
            <w:r>
              <w:rPr>
                <w:color w:val="FF0000"/>
                <w:sz w:val="16"/>
                <w:szCs w:val="16"/>
              </w:rPr>
              <w:t>XXXXXXX</w:t>
            </w:r>
          </w:p>
        </w:tc>
        <w:tc>
          <w:tcPr>
            <w:tcW w:w="1620" w:type="dxa"/>
            <w:tcBorders>
              <w:top w:val="single" w:sz="12" w:space="0" w:color="auto"/>
              <w:left w:val="single" w:sz="4" w:space="0" w:color="auto"/>
              <w:bottom w:val="single" w:sz="4" w:space="0" w:color="auto"/>
              <w:right w:val="single" w:sz="4" w:space="0" w:color="auto"/>
            </w:tcBorders>
            <w:noWrap/>
            <w:vAlign w:val="bottom"/>
            <w:hideMark/>
          </w:tcPr>
          <w:p w:rsidR="0079721D" w:rsidRDefault="0079721D">
            <w:pPr>
              <w:autoSpaceDE/>
              <w:adjustRightInd/>
              <w:rPr>
                <w:color w:val="FF0000"/>
                <w:sz w:val="16"/>
                <w:szCs w:val="16"/>
              </w:rPr>
            </w:pPr>
            <w:r>
              <w:rPr>
                <w:color w:val="FF0000"/>
                <w:sz w:val="16"/>
                <w:szCs w:val="16"/>
              </w:rPr>
              <w:t>XX square feet</w:t>
            </w:r>
          </w:p>
        </w:tc>
      </w:tr>
    </w:tbl>
    <w:p w:rsidR="0079721D" w:rsidRDefault="0079721D" w:rsidP="0079721D">
      <w:pPr>
        <w:jc w:val="both"/>
      </w:pPr>
    </w:p>
    <w:p w:rsidR="0079721D" w:rsidRDefault="0079721D" w:rsidP="0079721D">
      <w:pPr>
        <w:jc w:val="both"/>
        <w:rPr>
          <w:sz w:val="21"/>
          <w:szCs w:val="21"/>
        </w:rPr>
      </w:pPr>
      <w:r>
        <w:rPr>
          <w:sz w:val="21"/>
          <w:szCs w:val="21"/>
        </w:rPr>
        <w:t>The removal and disposal of any asbestos containing material during the deck replacement of the bridge must comply with the Ohio Administrative Code, the Occupational Safety and Health Administration (OSHA) regulations, and the National Emission Standard for Hazardous Air Pollutants (NESHAP) Standards for Asbestos.</w:t>
      </w:r>
    </w:p>
    <w:p w:rsidR="0079721D" w:rsidRDefault="0079721D" w:rsidP="0079721D">
      <w:pPr>
        <w:jc w:val="both"/>
        <w:rPr>
          <w:sz w:val="21"/>
          <w:szCs w:val="21"/>
        </w:rPr>
      </w:pPr>
    </w:p>
    <w:p w:rsidR="0079721D" w:rsidRDefault="0079721D" w:rsidP="0079721D">
      <w:pPr>
        <w:jc w:val="both"/>
        <w:rPr>
          <w:i/>
          <w:iCs/>
          <w:sz w:val="21"/>
          <w:szCs w:val="21"/>
        </w:rPr>
      </w:pPr>
      <w:r>
        <w:rPr>
          <w:sz w:val="21"/>
          <w:szCs w:val="21"/>
        </w:rPr>
        <w:t>A copy of the Ohio Environmental Protection Agency (OEPA) Notification of Demolition and Renovation forms with sections I-IV, VI and VII completed is included with the bid package.  The Contractor will complete sections V, VIII-XVIII of the form and submit the completed form to the Local Air Authority at least ten (10) days prior to reconstruction of the bridges.  The Contractor will provide a copy of the completed form to the Engineer.  The Local Air Authority is:</w:t>
      </w:r>
    </w:p>
    <w:p w:rsidR="0079721D" w:rsidRDefault="0079721D" w:rsidP="0079721D">
      <w:pPr>
        <w:tabs>
          <w:tab w:val="left" w:pos="720"/>
          <w:tab w:val="left" w:pos="1440"/>
        </w:tabs>
        <w:spacing w:before="120" w:after="99" w:line="140" w:lineRule="exact"/>
        <w:ind w:left="1440" w:hanging="720"/>
        <w:jc w:val="both"/>
        <w:rPr>
          <w:sz w:val="21"/>
          <w:szCs w:val="21"/>
        </w:rPr>
      </w:pPr>
      <w:r>
        <w:rPr>
          <w:i/>
          <w:iCs/>
          <w:sz w:val="21"/>
          <w:szCs w:val="21"/>
        </w:rPr>
        <w:fldChar w:fldCharType="begin"/>
      </w:r>
      <w:r>
        <w:rPr>
          <w:i/>
          <w:iCs/>
          <w:sz w:val="21"/>
          <w:szCs w:val="21"/>
        </w:rPr>
        <w:instrText>ADVANCE \d4</w:instrText>
      </w:r>
      <w:r>
        <w:rPr>
          <w:i/>
          <w:iCs/>
          <w:sz w:val="21"/>
          <w:szCs w:val="21"/>
        </w:rPr>
        <w:fldChar w:fldCharType="end"/>
      </w:r>
      <w:r>
        <w:rPr>
          <w:sz w:val="21"/>
          <w:szCs w:val="21"/>
        </w:rPr>
        <w:fldChar w:fldCharType="begin"/>
      </w:r>
      <w:r>
        <w:rPr>
          <w:sz w:val="21"/>
          <w:szCs w:val="21"/>
        </w:rPr>
        <w:instrText>ADVANCE \d4</w:instrText>
      </w:r>
      <w:r>
        <w:rPr>
          <w:sz w:val="21"/>
          <w:szCs w:val="21"/>
        </w:rPr>
        <w:fldChar w:fldCharType="end"/>
      </w:r>
      <w:r>
        <w:rPr>
          <w:b/>
          <w:bCs/>
          <w:sz w:val="21"/>
          <w:szCs w:val="21"/>
        </w:rPr>
        <w:tab/>
      </w:r>
      <w:r>
        <w:rPr>
          <w:sz w:val="21"/>
          <w:szCs w:val="21"/>
        </w:rPr>
        <w:tab/>
      </w:r>
      <w:r>
        <w:rPr>
          <w:sz w:val="21"/>
          <w:szCs w:val="21"/>
        </w:rPr>
        <w:tab/>
      </w:r>
    </w:p>
    <w:p w:rsidR="00EF3105" w:rsidRDefault="0079721D" w:rsidP="00EF3105">
      <w:pPr>
        <w:rPr>
          <w:sz w:val="22"/>
          <w:szCs w:val="22"/>
        </w:rPr>
      </w:pPr>
      <w:r>
        <w:rPr>
          <w:b/>
          <w:bCs/>
        </w:rPr>
        <w:tab/>
      </w:r>
      <w:r>
        <w:rPr>
          <w:b/>
          <w:bCs/>
        </w:rPr>
        <w:tab/>
      </w:r>
      <w:r w:rsidR="00EF3105">
        <w:rPr>
          <w:sz w:val="22"/>
          <w:szCs w:val="22"/>
        </w:rPr>
        <w:tab/>
        <w:t>Lake County Air Pollution Control</w:t>
      </w:r>
    </w:p>
    <w:p w:rsidR="00EF3105" w:rsidRDefault="00EF3105" w:rsidP="00EF3105">
      <w:pPr>
        <w:ind w:left="1440" w:firstLine="720"/>
        <w:rPr>
          <w:sz w:val="22"/>
          <w:szCs w:val="22"/>
        </w:rPr>
      </w:pPr>
      <w:r>
        <w:rPr>
          <w:sz w:val="22"/>
          <w:szCs w:val="22"/>
        </w:rPr>
        <w:t xml:space="preserve">Attn: Bert </w:t>
      </w:r>
      <w:proofErr w:type="spellStart"/>
      <w:r>
        <w:rPr>
          <w:sz w:val="22"/>
          <w:szCs w:val="22"/>
        </w:rPr>
        <w:t>Mechenbier</w:t>
      </w:r>
      <w:proofErr w:type="spellEnd"/>
      <w:r>
        <w:rPr>
          <w:sz w:val="22"/>
          <w:szCs w:val="22"/>
        </w:rPr>
        <w:t xml:space="preserve"> </w:t>
      </w:r>
    </w:p>
    <w:p w:rsidR="00EF3105" w:rsidRDefault="00EF3105" w:rsidP="00EF3105">
      <w:pPr>
        <w:rPr>
          <w:sz w:val="22"/>
          <w:szCs w:val="22"/>
        </w:rPr>
      </w:pPr>
      <w:r>
        <w:rPr>
          <w:sz w:val="22"/>
          <w:szCs w:val="22"/>
        </w:rPr>
        <w:tab/>
      </w:r>
      <w:r>
        <w:rPr>
          <w:sz w:val="22"/>
          <w:szCs w:val="22"/>
        </w:rPr>
        <w:tab/>
      </w:r>
      <w:r>
        <w:rPr>
          <w:sz w:val="22"/>
          <w:szCs w:val="22"/>
        </w:rPr>
        <w:tab/>
      </w:r>
      <w:r>
        <w:rPr>
          <w:sz w:val="22"/>
          <w:szCs w:val="22"/>
        </w:rPr>
        <w:fldChar w:fldCharType="begin"/>
      </w:r>
      <w:r>
        <w:rPr>
          <w:sz w:val="22"/>
          <w:szCs w:val="22"/>
        </w:rPr>
        <w:instrText xml:space="preserve"> SEQ CHAPTER \h \r 1</w:instrText>
      </w:r>
      <w:r>
        <w:rPr>
          <w:sz w:val="22"/>
          <w:szCs w:val="22"/>
        </w:rPr>
        <w:fldChar w:fldCharType="end"/>
      </w:r>
      <w:r>
        <w:rPr>
          <w:sz w:val="22"/>
          <w:szCs w:val="22"/>
        </w:rPr>
        <w:t>33 Mill Street</w:t>
      </w:r>
    </w:p>
    <w:p w:rsidR="00EF3105" w:rsidRDefault="00EF3105" w:rsidP="00EF3105">
      <w:pPr>
        <w:rPr>
          <w:sz w:val="22"/>
          <w:szCs w:val="22"/>
        </w:rPr>
      </w:pPr>
      <w:r>
        <w:rPr>
          <w:sz w:val="22"/>
          <w:szCs w:val="22"/>
        </w:rPr>
        <w:tab/>
      </w:r>
      <w:r>
        <w:rPr>
          <w:sz w:val="22"/>
          <w:szCs w:val="22"/>
        </w:rPr>
        <w:tab/>
      </w:r>
      <w:r>
        <w:rPr>
          <w:sz w:val="22"/>
          <w:szCs w:val="22"/>
        </w:rPr>
        <w:tab/>
        <w:t>Painesville, Ohio 44077</w:t>
      </w:r>
    </w:p>
    <w:p w:rsidR="0079721D" w:rsidRDefault="0079721D" w:rsidP="0079721D">
      <w:pPr>
        <w:jc w:val="both"/>
        <w:rPr>
          <w:sz w:val="21"/>
          <w:szCs w:val="21"/>
        </w:rPr>
      </w:pPr>
    </w:p>
    <w:p w:rsidR="0079721D" w:rsidRDefault="0079721D" w:rsidP="0079721D">
      <w:pPr>
        <w:jc w:val="both"/>
        <w:rPr>
          <w:sz w:val="21"/>
          <w:szCs w:val="21"/>
        </w:rPr>
      </w:pPr>
      <w:r>
        <w:rPr>
          <w:sz w:val="21"/>
          <w:szCs w:val="21"/>
        </w:rPr>
        <w:t>The Contractor will provide an individual trained in the provisions of NESHAP that will be on-site during removal of the asbestos containing materials.  In addition to the asbestos containing material identified in the Asbestos Survey Report, this individual will also, monitor any additional non-visible asbestos encountered within the project work limits.</w:t>
      </w:r>
    </w:p>
    <w:p w:rsidR="0079721D" w:rsidRDefault="0079721D" w:rsidP="0079721D">
      <w:pPr>
        <w:jc w:val="both"/>
        <w:rPr>
          <w:sz w:val="21"/>
          <w:szCs w:val="21"/>
        </w:rPr>
      </w:pPr>
      <w:r>
        <w:rPr>
          <w:sz w:val="21"/>
          <w:szCs w:val="21"/>
        </w:rPr>
        <w:t>The Contractor will furnish all labor, equipment, and materials necessary to complete, submit, and comply with the OEPA Notification form and to remove, transport, and dispose of the materials containing asbestos from within the project work limits.  Payment of this work will be included in the bid Lump Sum price Item Special - Asbestos Abatement.</w:t>
      </w:r>
    </w:p>
    <w:p w:rsidR="0079721D" w:rsidRDefault="0079721D" w:rsidP="0079721D">
      <w:pPr>
        <w:jc w:val="both"/>
        <w:rPr>
          <w:sz w:val="21"/>
          <w:szCs w:val="21"/>
        </w:rPr>
      </w:pPr>
    </w:p>
    <w:p w:rsidR="0079721D" w:rsidRDefault="0079721D" w:rsidP="0079721D">
      <w:pPr>
        <w:tabs>
          <w:tab w:val="left" w:pos="-1440"/>
        </w:tabs>
        <w:ind w:left="6480" w:hanging="5760"/>
        <w:jc w:val="both"/>
        <w:rPr>
          <w:b/>
          <w:bCs/>
          <w:sz w:val="21"/>
          <w:szCs w:val="21"/>
        </w:rPr>
      </w:pPr>
      <w:r>
        <w:rPr>
          <w:b/>
          <w:bCs/>
          <w:sz w:val="21"/>
          <w:szCs w:val="21"/>
        </w:rPr>
        <w:t>Item</w:t>
      </w:r>
      <w:r>
        <w:rPr>
          <w:b/>
          <w:bCs/>
          <w:sz w:val="21"/>
          <w:szCs w:val="21"/>
        </w:rPr>
        <w:tab/>
      </w:r>
      <w:r>
        <w:rPr>
          <w:b/>
          <w:bCs/>
          <w:sz w:val="21"/>
          <w:szCs w:val="21"/>
        </w:rPr>
        <w:tab/>
      </w:r>
      <w:r>
        <w:rPr>
          <w:b/>
          <w:bCs/>
          <w:sz w:val="21"/>
          <w:szCs w:val="21"/>
        </w:rPr>
        <w:tab/>
        <w:t>Unit</w:t>
      </w:r>
    </w:p>
    <w:p w:rsidR="0079721D" w:rsidRDefault="0079721D" w:rsidP="0079721D">
      <w:pPr>
        <w:tabs>
          <w:tab w:val="left" w:pos="-1440"/>
        </w:tabs>
        <w:ind w:left="5760" w:hanging="5760"/>
        <w:jc w:val="both"/>
        <w:rPr>
          <w:rFonts w:ascii="Arial" w:hAnsi="Arial" w:cs="Arial"/>
          <w:sz w:val="22"/>
          <w:szCs w:val="22"/>
        </w:rPr>
      </w:pPr>
      <w:r>
        <w:rPr>
          <w:b/>
          <w:bCs/>
          <w:sz w:val="21"/>
          <w:szCs w:val="21"/>
        </w:rPr>
        <w:t xml:space="preserve">    Item Special - Asbestos Abatement</w:t>
      </w:r>
      <w:r>
        <w:rPr>
          <w:b/>
          <w:bCs/>
          <w:sz w:val="21"/>
          <w:szCs w:val="21"/>
        </w:rPr>
        <w:tab/>
      </w:r>
      <w:r>
        <w:rPr>
          <w:b/>
          <w:bCs/>
          <w:sz w:val="21"/>
          <w:szCs w:val="21"/>
        </w:rPr>
        <w:tab/>
      </w:r>
      <w:r>
        <w:rPr>
          <w:b/>
          <w:bCs/>
          <w:sz w:val="21"/>
          <w:szCs w:val="21"/>
        </w:rPr>
        <w:tab/>
        <w:t xml:space="preserve">        </w:t>
      </w:r>
      <w:r>
        <w:rPr>
          <w:b/>
          <w:bCs/>
          <w:sz w:val="21"/>
          <w:szCs w:val="21"/>
          <w:u w:val="single"/>
        </w:rPr>
        <w:t xml:space="preserve">Lump/Sum </w:t>
      </w:r>
    </w:p>
    <w:p w:rsidR="00EE6D7D" w:rsidRDefault="00EE6D7D"/>
    <w:sectPr w:rsidR="00EE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1D"/>
    <w:rsid w:val="00523194"/>
    <w:rsid w:val="00757D69"/>
    <w:rsid w:val="0079721D"/>
    <w:rsid w:val="008B69C9"/>
    <w:rsid w:val="009A33A6"/>
    <w:rsid w:val="00EE6D7D"/>
    <w:rsid w:val="00EF22FC"/>
    <w:rsid w:val="00EF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1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1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9848">
      <w:bodyDiv w:val="1"/>
      <w:marLeft w:val="0"/>
      <w:marRight w:val="0"/>
      <w:marTop w:val="0"/>
      <w:marBottom w:val="0"/>
      <w:divBdr>
        <w:top w:val="none" w:sz="0" w:space="0" w:color="auto"/>
        <w:left w:val="none" w:sz="0" w:space="0" w:color="auto"/>
        <w:bottom w:val="none" w:sz="0" w:space="0" w:color="auto"/>
        <w:right w:val="none" w:sz="0" w:space="0" w:color="auto"/>
      </w:divBdr>
    </w:div>
    <w:div w:id="10919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 Ondash</dc:creator>
  <cp:lastModifiedBy>Christopher J Ondash</cp:lastModifiedBy>
  <cp:revision>3</cp:revision>
  <dcterms:created xsi:type="dcterms:W3CDTF">2013-07-30T19:43:00Z</dcterms:created>
  <dcterms:modified xsi:type="dcterms:W3CDTF">2014-03-10T17:33:00Z</dcterms:modified>
</cp:coreProperties>
</file>