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6617835"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 xml:space="preserve">006-OB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69D21E10"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4A6CBE">
              <w:rPr>
                <w:noProof/>
                <w:sz w:val="24"/>
                <w:szCs w:val="24"/>
              </w:rPr>
              <w:t>ASPEN REAL ESTATE HOLDINGS, LLC</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32281E38" w:rsidR="000853B9" w:rsidRPr="003B39EB" w:rsidRDefault="004A6CBE" w:rsidP="000853B9">
            <w:pPr>
              <w:jc w:val="center"/>
              <w:rPr>
                <w:sz w:val="24"/>
                <w:szCs w:val="24"/>
              </w:rPr>
            </w:pPr>
            <w:r>
              <w:rPr>
                <w:sz w:val="24"/>
                <w:szCs w:val="24"/>
              </w:rPr>
              <w:t>12/21/23</w:t>
            </w:r>
          </w:p>
        </w:tc>
        <w:tc>
          <w:tcPr>
            <w:tcW w:w="8820" w:type="dxa"/>
          </w:tcPr>
          <w:p w14:paraId="7EA06B08" w14:textId="1157F21F" w:rsidR="000853B9" w:rsidRPr="003B39EB" w:rsidRDefault="004A6CBE" w:rsidP="000853B9">
            <w:pPr>
              <w:rPr>
                <w:sz w:val="24"/>
                <w:szCs w:val="24"/>
              </w:rPr>
            </w:pPr>
            <w:r>
              <w:rPr>
                <w:sz w:val="24"/>
                <w:szCs w:val="24"/>
              </w:rPr>
              <w:t>Found that Stephen Eichhorn has passed away and his executor, Phillip Eichhorn, sold the property to ASPEN REAL ESTATE HOLDINGS, LLC, an Ohio limited liability company.</w:t>
            </w:r>
          </w:p>
        </w:tc>
      </w:tr>
      <w:tr w:rsidR="000853B9" w:rsidRPr="003B39EB" w14:paraId="682300FC" w14:textId="77777777" w:rsidTr="000853B9">
        <w:tc>
          <w:tcPr>
            <w:tcW w:w="1255" w:type="dxa"/>
          </w:tcPr>
          <w:p w14:paraId="3C3CDCA5" w14:textId="77777777" w:rsidR="000853B9" w:rsidRPr="003B39EB" w:rsidRDefault="000853B9" w:rsidP="000853B9">
            <w:pPr>
              <w:jc w:val="center"/>
              <w:rPr>
                <w:sz w:val="24"/>
                <w:szCs w:val="24"/>
              </w:rPr>
            </w:pPr>
          </w:p>
        </w:tc>
        <w:tc>
          <w:tcPr>
            <w:tcW w:w="8820" w:type="dxa"/>
          </w:tcPr>
          <w:p w14:paraId="05E97465" w14:textId="3220FAF2" w:rsidR="000853B9" w:rsidRPr="003B39EB" w:rsidRDefault="004A6CBE" w:rsidP="000853B9">
            <w:pPr>
              <w:rPr>
                <w:sz w:val="24"/>
                <w:szCs w:val="24"/>
              </w:rPr>
            </w:pPr>
            <w:r>
              <w:rPr>
                <w:sz w:val="24"/>
                <w:szCs w:val="24"/>
              </w:rPr>
              <w:t>Searching Secretary of State Business information, finds where the business has been registered, but no names of owners, address of business or phone number found in the documents on the SOS website.  I have searched via the Internet to hopefully find the owner</w:t>
            </w:r>
            <w:r w:rsidR="000A6C07">
              <w:rPr>
                <w:sz w:val="24"/>
                <w:szCs w:val="24"/>
              </w:rPr>
              <w:t>’</w:t>
            </w:r>
            <w:r>
              <w:rPr>
                <w:sz w:val="24"/>
                <w:szCs w:val="24"/>
              </w:rPr>
              <w:t>s name, address, and then a contact phone number.  The auditor website lists an address in Pickerington as the tax mailing address.  Further investigation finds the owners to be named Hesch.</w:t>
            </w:r>
          </w:p>
        </w:tc>
      </w:tr>
      <w:tr w:rsidR="000A6C07" w:rsidRPr="003B39EB" w14:paraId="164F9832" w14:textId="77777777" w:rsidTr="000853B9">
        <w:tc>
          <w:tcPr>
            <w:tcW w:w="1255" w:type="dxa"/>
          </w:tcPr>
          <w:p w14:paraId="14C1C48E" w14:textId="26408EFD" w:rsidR="000A6C07" w:rsidRDefault="000A6C07" w:rsidP="000853B9">
            <w:pPr>
              <w:jc w:val="center"/>
              <w:rPr>
                <w:sz w:val="24"/>
                <w:szCs w:val="24"/>
              </w:rPr>
            </w:pPr>
            <w:r>
              <w:rPr>
                <w:sz w:val="24"/>
                <w:szCs w:val="24"/>
              </w:rPr>
              <w:t>1/3/2024</w:t>
            </w:r>
          </w:p>
        </w:tc>
        <w:tc>
          <w:tcPr>
            <w:tcW w:w="8820" w:type="dxa"/>
          </w:tcPr>
          <w:p w14:paraId="689E271E" w14:textId="74D81E8F" w:rsidR="000A6C07" w:rsidRDefault="000A6C07" w:rsidP="000853B9">
            <w:pPr>
              <w:rPr>
                <w:sz w:val="24"/>
                <w:szCs w:val="24"/>
              </w:rPr>
            </w:pPr>
            <w:r>
              <w:rPr>
                <w:sz w:val="24"/>
                <w:szCs w:val="24"/>
              </w:rPr>
              <w:t>Tricia Polt and I drove to the residential address of Steven Hesch in Pickerington, OH and I left a card.  Then we drove to the business address on the project, 6935 and 6945 Pickerington Road, Pickerington, OH, to see if I could encounter the owner face to face.  I left a card at this location as well.</w:t>
            </w:r>
          </w:p>
        </w:tc>
      </w:tr>
      <w:tr w:rsidR="000853B9" w:rsidRPr="003B39EB" w14:paraId="13DF38E5" w14:textId="77777777" w:rsidTr="000853B9">
        <w:tc>
          <w:tcPr>
            <w:tcW w:w="1255" w:type="dxa"/>
          </w:tcPr>
          <w:p w14:paraId="21E9A987" w14:textId="7EE944C0" w:rsidR="000853B9" w:rsidRPr="003B39EB" w:rsidRDefault="000A6C07" w:rsidP="000853B9">
            <w:pPr>
              <w:jc w:val="center"/>
              <w:rPr>
                <w:sz w:val="24"/>
                <w:szCs w:val="24"/>
              </w:rPr>
            </w:pPr>
            <w:r>
              <w:rPr>
                <w:sz w:val="24"/>
                <w:szCs w:val="24"/>
              </w:rPr>
              <w:t>1/4/2024</w:t>
            </w:r>
          </w:p>
        </w:tc>
        <w:tc>
          <w:tcPr>
            <w:tcW w:w="8820" w:type="dxa"/>
          </w:tcPr>
          <w:p w14:paraId="1C195BB0" w14:textId="474B8C44" w:rsidR="000853B9" w:rsidRPr="003B39EB" w:rsidRDefault="000A6C07" w:rsidP="000853B9">
            <w:pPr>
              <w:rPr>
                <w:sz w:val="24"/>
                <w:szCs w:val="24"/>
              </w:rPr>
            </w:pPr>
            <w:r>
              <w:rPr>
                <w:sz w:val="24"/>
                <w:szCs w:val="24"/>
              </w:rPr>
              <w:t>Steven Hesch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affect on his property?  He said yes, he would like that a great deal.  I asked him if he was available on 01/11/24 at 11 am.  He said he would make sure he was able to meet me.</w:t>
            </w:r>
          </w:p>
        </w:tc>
      </w:tr>
      <w:tr w:rsidR="000853B9" w:rsidRPr="003B39EB" w14:paraId="3F37B493" w14:textId="77777777" w:rsidTr="000853B9">
        <w:tc>
          <w:tcPr>
            <w:tcW w:w="1255" w:type="dxa"/>
          </w:tcPr>
          <w:p w14:paraId="75966761" w14:textId="587FC5B3" w:rsidR="000853B9" w:rsidRPr="003B39EB" w:rsidRDefault="000A6C07" w:rsidP="000853B9">
            <w:pPr>
              <w:jc w:val="center"/>
              <w:rPr>
                <w:sz w:val="24"/>
                <w:szCs w:val="24"/>
              </w:rPr>
            </w:pPr>
            <w:r>
              <w:rPr>
                <w:sz w:val="24"/>
                <w:szCs w:val="24"/>
              </w:rPr>
              <w:t>01/10/24</w:t>
            </w:r>
          </w:p>
        </w:tc>
        <w:tc>
          <w:tcPr>
            <w:tcW w:w="8820" w:type="dxa"/>
          </w:tcPr>
          <w:p w14:paraId="2608EB4D" w14:textId="2EF15EDA" w:rsidR="000853B9" w:rsidRPr="003B39EB" w:rsidRDefault="000A6C07" w:rsidP="000853B9">
            <w:pPr>
              <w:rPr>
                <w:sz w:val="24"/>
                <w:szCs w:val="24"/>
              </w:rPr>
            </w:pPr>
            <w:r>
              <w:rPr>
                <w:sz w:val="24"/>
                <w:szCs w:val="24"/>
              </w:rPr>
              <w:t>I called Mr. Hesch to confirm the appointment and he asked if we could reschedule for the next day, I asked if 8 am was too early, he stated NO.  I confirmed 01/12/24 at 8 am at his business location on Pickerington Road.</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2F0FB791" w:rsidR="000853B9" w:rsidRPr="003B39EB" w:rsidRDefault="00B12272" w:rsidP="000853B9">
            <w:pPr>
              <w:rPr>
                <w:sz w:val="24"/>
                <w:szCs w:val="24"/>
              </w:rPr>
            </w:pPr>
            <w:r>
              <w:rPr>
                <w:sz w:val="24"/>
                <w:szCs w:val="24"/>
              </w:rPr>
              <w:t xml:space="preserve">Patty Moorman and I, Kimber Heim, arrived at 6935 Pickerington Road, Pickerington, </w:t>
            </w:r>
            <w:r>
              <w:rPr>
                <w:sz w:val="24"/>
                <w:szCs w:val="24"/>
              </w:rPr>
              <w:lastRenderedPageBreak/>
              <w:t>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9F14659" w:rsidR="000853B9" w:rsidRPr="003B39EB" w:rsidRDefault="001872FD" w:rsidP="000853B9">
            <w:pPr>
              <w:rPr>
                <w:sz w:val="24"/>
                <w:szCs w:val="24"/>
              </w:rPr>
            </w:pPr>
            <w:r>
              <w:rPr>
                <w:sz w:val="24"/>
                <w:szCs w:val="24"/>
              </w:rPr>
              <w:t>I 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Hesch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20A7AFAA" w:rsidR="000853B9" w:rsidRPr="003B39EB" w:rsidRDefault="004B6B99" w:rsidP="000853B9">
            <w:pPr>
              <w:rPr>
                <w:sz w:val="24"/>
                <w:szCs w:val="24"/>
              </w:rPr>
            </w:pPr>
            <w:r>
              <w:rPr>
                <w:sz w:val="24"/>
                <w:szCs w:val="24"/>
              </w:rPr>
              <w:t>At this time, Patty Moorman was discussing the relocation process.  Patty was confirming there was another business, Columbus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42F43003" w:rsidR="000853B9" w:rsidRPr="003B39EB" w:rsidRDefault="004B6B99" w:rsidP="000853B9">
            <w:pPr>
              <w:rPr>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Patty confirmed Aspen Real Estate is not part of a chain of properties.  At this time, Mr. Hesch reiterated his dismay at the change to the plans and the taking of the property due to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ODOT is providing is Advisory Services and can provide possible relocation locations if Mr. Hesch wanted us to assist in this way.  He told us he would appreciate any location availability to move both businesses.</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1BC989CC"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  She asked if there was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439B0F5"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to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which requires bids from two companies for the packing, moving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 xml:space="preserve">Patty Moorman went on to explain the move would need to be covered by replacement </w:t>
            </w:r>
            <w:r>
              <w:rPr>
                <w:sz w:val="24"/>
                <w:szCs w:val="24"/>
              </w:rPr>
              <w:lastRenderedPageBreak/>
              <w:t>cost insurance.  Patty discussed the move costs would assist with any license, permit, or certification required at the replacement site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reasonable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15596890" w:rsidR="004A6CBE" w:rsidRPr="003B39EB" w:rsidRDefault="00EA1625" w:rsidP="000853B9">
            <w:pPr>
              <w:rPr>
                <w:sz w:val="24"/>
                <w:szCs w:val="24"/>
              </w:rPr>
            </w:pPr>
            <w:r>
              <w:rPr>
                <w:sz w:val="24"/>
                <w:szCs w:val="24"/>
              </w:rPr>
              <w:t>Mr. Hesch did not have any questions</w:t>
            </w:r>
            <w:r w:rsidR="009508CF">
              <w:rPr>
                <w:sz w:val="24"/>
                <w:szCs w:val="24"/>
              </w:rPr>
              <w:t>,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at this location.  His concern is not being able to find a replacement location, and Patty spelled out the benefits of storage for up to 12 months if necessary.  We both told him at this point, we would be working diligently to find Aspen a replacement site.</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3F92ED6F"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7304FE5E" w:rsidR="004A6CBE" w:rsidRPr="003B39EB" w:rsidRDefault="009508CF" w:rsidP="000853B9">
            <w:pPr>
              <w:rPr>
                <w:sz w:val="24"/>
                <w:szCs w:val="24"/>
              </w:rPr>
            </w:pPr>
            <w:r>
              <w:rPr>
                <w:sz w:val="24"/>
                <w:szCs w:val="24"/>
              </w:rPr>
              <w:t>Patty went in to detail about the search expense benefit of $2500 available to Mr. Hesch.  Patty explained there would be a form we would provide to keep the records of the time spent, mileage, and expenses within reason for the search.  Mr. Hesch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3E211656" w:rsidR="004A6CBE" w:rsidRPr="003B39EB" w:rsidRDefault="00175BBF" w:rsidP="000853B9">
            <w:pPr>
              <w:rPr>
                <w:sz w:val="24"/>
                <w:szCs w:val="24"/>
              </w:rPr>
            </w:pPr>
            <w:r>
              <w:rPr>
                <w:sz w:val="24"/>
                <w:szCs w:val="24"/>
              </w:rPr>
              <w:t>Patty went back to the move costs to explain a move cost finding will be done and the amount determined is paid to Mr. Hesch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3D70ED82" w:rsidR="004A6CBE" w:rsidRPr="003B39EB" w:rsidRDefault="00175BBF" w:rsidP="000853B9">
            <w:pPr>
              <w:rPr>
                <w:sz w:val="24"/>
                <w:szCs w:val="24"/>
              </w:rPr>
            </w:pPr>
            <w:r>
              <w:rPr>
                <w:sz w:val="24"/>
                <w:szCs w:val="24"/>
              </w:rPr>
              <w:t>At this point, Patty moved on to discuss the Re-Establishment benefits for the business.  She explained that once Mr. Hesch finds a location</w:t>
            </w:r>
            <w:r w:rsidR="00451841">
              <w:rPr>
                <w:sz w:val="24"/>
                <w:szCs w:val="24"/>
              </w:rPr>
              <w:t>,</w:t>
            </w:r>
            <w:r>
              <w:rPr>
                <w:sz w:val="24"/>
                <w:szCs w:val="24"/>
              </w:rPr>
              <w:t xml:space="preserve"> if any modifications </w:t>
            </w:r>
            <w:r w:rsidR="00451841">
              <w:rPr>
                <w:sz w:val="24"/>
                <w:szCs w:val="24"/>
              </w:rPr>
              <w:t>a</w:t>
            </w:r>
            <w:r>
              <w:rPr>
                <w:sz w:val="24"/>
                <w:szCs w:val="24"/>
              </w:rPr>
              <w:t>r</w:t>
            </w:r>
            <w:r w:rsidR="00451841">
              <w:rPr>
                <w:sz w:val="24"/>
                <w:szCs w:val="24"/>
              </w:rPr>
              <w:t>e</w:t>
            </w:r>
            <w:r>
              <w:rPr>
                <w:sz w:val="24"/>
                <w:szCs w:val="24"/>
              </w:rPr>
              <w:t xml:space="preserve"> need</w:t>
            </w:r>
            <w:r w:rsidR="00451841">
              <w:rPr>
                <w:sz w:val="24"/>
                <w:szCs w:val="24"/>
              </w:rPr>
              <w:t>ed</w:t>
            </w:r>
            <w:r>
              <w:rPr>
                <w:sz w:val="24"/>
                <w:szCs w:val="24"/>
              </w:rPr>
              <w:t xml:space="preserve"> at the replacement site there is a benefit up to $25,000 paid to Aspen for fixing issues at the replacement site, ie cosmetic things, and </w:t>
            </w:r>
            <w:r w:rsidR="007A1F97">
              <w:rPr>
                <w:sz w:val="24"/>
                <w:szCs w:val="24"/>
              </w:rPr>
              <w:t>for needs if offices need to be constructed, bathroom updates for ADA, any ADA requirements by the municipality the relocation location required.  She reiterated the Relocation Program is a reimbursement program, you have to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53101C2E" w:rsidR="004A6CBE" w:rsidRPr="003B39EB" w:rsidRDefault="00451841" w:rsidP="000853B9">
            <w:pPr>
              <w:rPr>
                <w:sz w:val="24"/>
                <w:szCs w:val="24"/>
              </w:rPr>
            </w:pPr>
            <w:r>
              <w:rPr>
                <w:sz w:val="24"/>
                <w:szCs w:val="24"/>
              </w:rPr>
              <w:t>Patty Moorman went on to explain there is another benefit for business owners who have at least three years of making a profit based on tax returns.  This benefit is $40,000 and that includes payment for moving, search expenses, down payments and purchasing a replacement site, rehabbing a replacement site and does not have to be “spend it to get it”.  This benefit is authorized based on the profitability of the business.</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5B757C5A" w:rsidR="004A6CBE" w:rsidRPr="003B39EB" w:rsidRDefault="00451841" w:rsidP="000853B9">
            <w:pPr>
              <w:rPr>
                <w:sz w:val="24"/>
                <w:szCs w:val="24"/>
              </w:rPr>
            </w:pPr>
            <w:r>
              <w:rPr>
                <w:sz w:val="24"/>
                <w:szCs w:val="24"/>
              </w:rPr>
              <w:t>Mr. Hesch offered information about the business operating from Pickerington and a rented space prior to him finding the location on Pickerington Road.  I asked for the name of the business.  Mr. Hesch provided GC Signs aka Father and Son Enterprises.  Mr. Hesch stated his son and he are in business together.  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16CEA833" w:rsidR="004A6CBE" w:rsidRPr="003B39EB" w:rsidRDefault="00451841" w:rsidP="000853B9">
            <w:pPr>
              <w:rPr>
                <w:sz w:val="24"/>
                <w:szCs w:val="24"/>
              </w:rPr>
            </w:pPr>
            <w:r>
              <w:rPr>
                <w:sz w:val="24"/>
                <w:szCs w:val="24"/>
              </w:rPr>
              <w:t>At this time, I asked if he could provide the LLC agreements for both GC aka Father and Son and Aspen Real Estate Holdings.  He confirmed there is no mortgage on the location.  Mr. Hesch made some comments about how hard it was to find a location for the business outside of Pickerington.  We informed him we would provide referrals if he wanted us to do so.  Mr. Hesch stated he would look and would welcome any replacement locations we could find.</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CEF7400" w:rsidR="004A6CBE" w:rsidRPr="003B39EB" w:rsidRDefault="004E0D43" w:rsidP="000853B9">
            <w:pPr>
              <w:rPr>
                <w:sz w:val="24"/>
                <w:szCs w:val="24"/>
              </w:rPr>
            </w:pPr>
            <w:r>
              <w:rPr>
                <w:sz w:val="24"/>
                <w:szCs w:val="24"/>
              </w:rPr>
              <w:t>I completed taking pictures in the office area and we said our good byes.</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0A267963" w:rsidR="004A6CBE" w:rsidRPr="003B39EB" w:rsidRDefault="004E0D43" w:rsidP="000853B9">
            <w:pPr>
              <w:jc w:val="center"/>
              <w:rPr>
                <w:sz w:val="24"/>
                <w:szCs w:val="24"/>
              </w:rPr>
            </w:pPr>
            <w:r>
              <w:rPr>
                <w:sz w:val="24"/>
                <w:szCs w:val="24"/>
              </w:rPr>
              <w:t>1/14/24</w:t>
            </w:r>
          </w:p>
        </w:tc>
        <w:tc>
          <w:tcPr>
            <w:tcW w:w="8820" w:type="dxa"/>
          </w:tcPr>
          <w:p w14:paraId="580BDF1D" w14:textId="0C673285" w:rsidR="004A6CBE" w:rsidRPr="003B39EB" w:rsidRDefault="004E0D43" w:rsidP="000853B9">
            <w:pPr>
              <w:rPr>
                <w:sz w:val="24"/>
                <w:szCs w:val="24"/>
              </w:rPr>
            </w:pPr>
            <w:r>
              <w:rPr>
                <w:sz w:val="24"/>
                <w:szCs w:val="24"/>
              </w:rPr>
              <w:t>I received an email from Mr. Hesch which included both the lease with Platinum Plumbing and Father &amp; Son Holdings, LLC, dba Columbus Graphics (GC).</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77777777" w:rsidR="004A6CBE" w:rsidRPr="003B39EB" w:rsidRDefault="004A6CBE" w:rsidP="000853B9">
            <w:pPr>
              <w:rPr>
                <w:sz w:val="24"/>
                <w:szCs w:val="24"/>
              </w:rPr>
            </w:pP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77777777"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7777777"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Content>
      <w:sdt>
        <w:sdtPr>
          <w:id w:val="1728636285"/>
          <w:docPartObj>
            <w:docPartGallery w:val="Page Numbers (Top of Page)"/>
            <w:docPartUnique/>
          </w:docPartObj>
        </w:sdt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853B9"/>
    <w:rsid w:val="000A6C07"/>
    <w:rsid w:val="0013202F"/>
    <w:rsid w:val="001509E1"/>
    <w:rsid w:val="00175BBF"/>
    <w:rsid w:val="001872FD"/>
    <w:rsid w:val="001F519C"/>
    <w:rsid w:val="00216407"/>
    <w:rsid w:val="00334483"/>
    <w:rsid w:val="003B39EB"/>
    <w:rsid w:val="00451841"/>
    <w:rsid w:val="00486B75"/>
    <w:rsid w:val="0049482F"/>
    <w:rsid w:val="004A6CBE"/>
    <w:rsid w:val="004B6B99"/>
    <w:rsid w:val="004E0D43"/>
    <w:rsid w:val="00506063"/>
    <w:rsid w:val="0052346F"/>
    <w:rsid w:val="0054585A"/>
    <w:rsid w:val="006C3F0A"/>
    <w:rsid w:val="006D682C"/>
    <w:rsid w:val="00790F8A"/>
    <w:rsid w:val="00797508"/>
    <w:rsid w:val="007A1F97"/>
    <w:rsid w:val="007C2391"/>
    <w:rsid w:val="00826D75"/>
    <w:rsid w:val="008310EE"/>
    <w:rsid w:val="009508CF"/>
    <w:rsid w:val="0095473A"/>
    <w:rsid w:val="009A5F56"/>
    <w:rsid w:val="009B7EE3"/>
    <w:rsid w:val="009C718B"/>
    <w:rsid w:val="00A15E3A"/>
    <w:rsid w:val="00A27747"/>
    <w:rsid w:val="00AF0B54"/>
    <w:rsid w:val="00B12272"/>
    <w:rsid w:val="00BA398E"/>
    <w:rsid w:val="00C5250C"/>
    <w:rsid w:val="00DC3090"/>
    <w:rsid w:val="00DC4761"/>
    <w:rsid w:val="00E82732"/>
    <w:rsid w:val="00EA1625"/>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2.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4.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1</cp:revision>
  <dcterms:created xsi:type="dcterms:W3CDTF">2024-01-24T21:44:00Z</dcterms:created>
  <dcterms:modified xsi:type="dcterms:W3CDTF">2024-02-21T19:53:00Z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