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17733" w14:textId="77777777" w:rsidR="00267435" w:rsidRPr="00D903C0" w:rsidRDefault="006373FE" w:rsidP="000D0BC8">
      <w:pPr>
        <w:pStyle w:val="Header"/>
        <w:tabs>
          <w:tab w:val="clear" w:pos="9360"/>
          <w:tab w:val="right" w:pos="11700"/>
        </w:tabs>
        <w:rPr>
          <w:rFonts w:cstheme="minorHAnsi"/>
          <w:b/>
          <w:bCs/>
          <w:sz w:val="20"/>
          <w:szCs w:val="18"/>
        </w:rPr>
      </w:pPr>
      <w:r w:rsidRPr="00D903C0">
        <w:rPr>
          <w:rFonts w:cstheme="minorHAnsi"/>
          <w:sz w:val="20"/>
        </w:rPr>
        <w:t>RE-22</w:t>
      </w:r>
      <w:r>
        <w:ptab w:relativeTo="margin" w:alignment="center" w:leader="none"/>
      </w:r>
      <w:r w:rsidRPr="00D903C0">
        <w:rPr>
          <w:rFonts w:cstheme="minorHAnsi"/>
          <w:b/>
          <w:bCs/>
          <w:szCs w:val="18"/>
        </w:rPr>
        <w:t>ACQUIRING AGENCY’S</w:t>
      </w:r>
      <w:r>
        <w:ptab w:relativeTo="margin" w:alignment="right" w:leader="none"/>
      </w:r>
      <w:r w:rsidRPr="00D903C0">
        <w:rPr>
          <w:rFonts w:cstheme="minorHAnsi"/>
        </w:rPr>
        <w:br/>
      </w:r>
      <w:r w:rsidRPr="00D903C0">
        <w:rPr>
          <w:rFonts w:cstheme="minorHAnsi"/>
          <w:sz w:val="20"/>
        </w:rPr>
        <w:t>REV. 03-2015</w:t>
      </w:r>
      <w:r>
        <w:ptab w:relativeTo="margin" w:alignment="center" w:leader="none"/>
      </w:r>
      <w:r w:rsidRPr="00D903C0">
        <w:rPr>
          <w:rFonts w:cstheme="minorHAnsi"/>
          <w:b/>
          <w:bCs/>
          <w:szCs w:val="18"/>
        </w:rPr>
        <w:t>FAIR</w:t>
      </w:r>
      <w:r w:rsidRPr="00D903C0">
        <w:rPr>
          <w:rFonts w:cstheme="minorHAnsi"/>
          <w:b/>
          <w:bCs/>
          <w:sz w:val="24"/>
          <w:szCs w:val="18"/>
        </w:rPr>
        <w:t xml:space="preserve"> </w:t>
      </w:r>
      <w:r w:rsidRPr="00D903C0">
        <w:rPr>
          <w:rFonts w:cstheme="minorHAnsi"/>
          <w:b/>
          <w:bCs/>
          <w:szCs w:val="18"/>
        </w:rPr>
        <w:t>MARKET VALUE ESTIMATE</w:t>
      </w:r>
    </w:p>
    <w:p w14:paraId="61269759" w14:textId="77777777" w:rsidR="00267435" w:rsidRPr="00D903C0" w:rsidRDefault="00267435" w:rsidP="000D0BC8">
      <w:pPr>
        <w:pStyle w:val="Header"/>
        <w:tabs>
          <w:tab w:val="clear" w:pos="9360"/>
          <w:tab w:val="right" w:pos="11700"/>
        </w:tabs>
        <w:rPr>
          <w:rFonts w:cstheme="minorHAnsi"/>
        </w:rPr>
      </w:pPr>
    </w:p>
    <w:p w14:paraId="20891789" w14:textId="77777777" w:rsidR="00267435" w:rsidRPr="00D903C0" w:rsidRDefault="00267435" w:rsidP="000D0BC8">
      <w:pPr>
        <w:pStyle w:val="Header"/>
        <w:tabs>
          <w:tab w:val="clear" w:pos="9360"/>
          <w:tab w:val="right" w:pos="11700"/>
        </w:tabs>
        <w:rPr>
          <w:rFonts w:cstheme="minorHAnsi"/>
        </w:rPr>
      </w:pPr>
    </w:p>
    <w:p w14:paraId="4658B351" w14:textId="77777777" w:rsidR="00B52DE5" w:rsidRPr="00D903C0" w:rsidRDefault="00B52DE5" w:rsidP="000D0BC8">
      <w:pPr>
        <w:pStyle w:val="Header"/>
        <w:tabs>
          <w:tab w:val="clear" w:pos="9360"/>
          <w:tab w:val="right" w:pos="11700"/>
        </w:tabs>
        <w:rPr>
          <w:rFonts w:cstheme="minorHAnsi"/>
        </w:rPr>
        <w:sectPr w:rsidR="00B52DE5" w:rsidRPr="00D903C0" w:rsidSect="00147D75">
          <w:pgSz w:w="12240" w:h="15840"/>
          <w:pgMar w:top="900" w:right="270" w:bottom="720" w:left="270" w:header="720" w:footer="720" w:gutter="0"/>
          <w:cols w:space="720"/>
          <w:docGrid w:linePitch="360"/>
        </w:sectPr>
      </w:pPr>
    </w:p>
    <w:tbl>
      <w:tblPr>
        <w:tblStyle w:val="TableGrid"/>
        <w:tblpPr w:leftFromText="180" w:rightFromText="180" w:vertAnchor="text" w:horzAnchor="margin" w:tblpY="6"/>
        <w:tblW w:w="0" w:type="auto"/>
        <w:tblLook w:val="04A0" w:firstRow="1" w:lastRow="0" w:firstColumn="1" w:lastColumn="0" w:noHBand="0" w:noVBand="1"/>
      </w:tblPr>
      <w:tblGrid>
        <w:gridCol w:w="5490"/>
      </w:tblGrid>
      <w:tr w:rsidR="004341A4" w14:paraId="6F0884EA" w14:textId="77777777" w:rsidTr="00744087">
        <w:trPr>
          <w:trHeight w:val="74"/>
        </w:trPr>
        <w:tc>
          <w:tcPr>
            <w:tcW w:w="5490" w:type="dxa"/>
            <w:tcBorders>
              <w:top w:val="nil"/>
              <w:left w:val="nil"/>
              <w:bottom w:val="single" w:sz="4" w:space="0" w:color="auto"/>
              <w:right w:val="nil"/>
            </w:tcBorders>
          </w:tcPr>
          <w:p w14:paraId="53E40E61" w14:textId="77777777" w:rsidR="00300916" w:rsidRPr="00BF2C1D" w:rsidRDefault="006373FE" w:rsidP="00744087">
            <w:pPr>
              <w:pStyle w:val="Header"/>
              <w:tabs>
                <w:tab w:val="clear" w:pos="9360"/>
                <w:tab w:val="right" w:pos="11700"/>
              </w:tabs>
              <w:jc w:val="center"/>
              <w:rPr>
                <w:rFonts w:cstheme="minorHAnsi"/>
              </w:rPr>
            </w:pPr>
            <w:r w:rsidRPr="00BF2C1D">
              <w:rPr>
                <w:rFonts w:cstheme="minorHAnsi"/>
                <w:sz w:val="16"/>
              </w:rPr>
              <w:t>OWNER’S NAME</w:t>
            </w:r>
          </w:p>
        </w:tc>
      </w:tr>
      <w:tr w:rsidR="004341A4" w14:paraId="0E40BC4E" w14:textId="77777777" w:rsidTr="00744087">
        <w:trPr>
          <w:trHeight w:val="790"/>
        </w:trPr>
        <w:tc>
          <w:tcPr>
            <w:tcW w:w="5490" w:type="dxa"/>
            <w:tcBorders>
              <w:top w:val="single" w:sz="4" w:space="0" w:color="auto"/>
            </w:tcBorders>
            <w:vAlign w:val="center"/>
          </w:tcPr>
          <w:p w14:paraId="34DFF181" w14:textId="77777777" w:rsidR="00300916" w:rsidRPr="00300916" w:rsidRDefault="006373FE" w:rsidP="00744087">
            <w:pPr>
              <w:pStyle w:val="Header"/>
              <w:tabs>
                <w:tab w:val="clear" w:pos="9360"/>
                <w:tab w:val="right" w:pos="11700"/>
              </w:tabs>
              <w:jc w:val="center"/>
              <w:rPr>
                <w:rFonts w:cstheme="minorHAnsi"/>
                <w:sz w:val="18"/>
              </w:rPr>
            </w:pPr>
            <w:bookmarkStart w:id="0" w:name="owners"/>
            <w:r w:rsidRPr="00300916">
              <w:rPr>
                <w:rFonts w:cstheme="minorHAnsi"/>
                <w:sz w:val="18"/>
              </w:rPr>
              <w:t xml:space="preserve">Ron L. Johnston and Judith L. Stella </w:t>
            </w:r>
            <w:bookmarkEnd w:id="0"/>
          </w:p>
        </w:tc>
      </w:tr>
    </w:tbl>
    <w:tbl>
      <w:tblPr>
        <w:tblStyle w:val="TableGrid"/>
        <w:tblpPr w:leftFromText="180" w:rightFromText="180" w:vertAnchor="text" w:horzAnchor="margin" w:tblpXSpec="right" w:tblpY="51"/>
        <w:tblW w:w="5488" w:type="dxa"/>
        <w:tblLook w:val="04A0" w:firstRow="1" w:lastRow="0" w:firstColumn="1" w:lastColumn="0" w:noHBand="0" w:noVBand="1"/>
      </w:tblPr>
      <w:tblGrid>
        <w:gridCol w:w="3690"/>
        <w:gridCol w:w="1798"/>
      </w:tblGrid>
      <w:tr w:rsidR="004341A4" w14:paraId="6FD407BC" w14:textId="77777777" w:rsidTr="00300916">
        <w:trPr>
          <w:trHeight w:val="74"/>
        </w:trPr>
        <w:tc>
          <w:tcPr>
            <w:tcW w:w="3690" w:type="dxa"/>
            <w:tcBorders>
              <w:top w:val="nil"/>
              <w:left w:val="nil"/>
              <w:bottom w:val="nil"/>
              <w:right w:val="nil"/>
            </w:tcBorders>
            <w:vAlign w:val="center"/>
          </w:tcPr>
          <w:p w14:paraId="6484B907" w14:textId="77777777" w:rsidR="00300916" w:rsidRPr="00BF2C1D" w:rsidRDefault="006373FE" w:rsidP="00744087">
            <w:pPr>
              <w:jc w:val="right"/>
              <w:rPr>
                <w:rFonts w:cstheme="minorHAnsi"/>
                <w:sz w:val="16"/>
              </w:rPr>
            </w:pPr>
            <w:r w:rsidRPr="00BF2C1D">
              <w:rPr>
                <w:rFonts w:cstheme="minorHAnsi"/>
                <w:sz w:val="16"/>
              </w:rPr>
              <w:t>COUNTY</w:t>
            </w:r>
          </w:p>
        </w:tc>
        <w:tc>
          <w:tcPr>
            <w:tcW w:w="1798" w:type="dxa"/>
            <w:tcBorders>
              <w:top w:val="nil"/>
              <w:left w:val="nil"/>
              <w:bottom w:val="single" w:sz="4" w:space="0" w:color="auto"/>
              <w:right w:val="nil"/>
            </w:tcBorders>
            <w:vAlign w:val="center"/>
          </w:tcPr>
          <w:p w14:paraId="52BB2054" w14:textId="77777777" w:rsidR="00300916" w:rsidRPr="00855BA3" w:rsidRDefault="006373FE" w:rsidP="00744087">
            <w:pPr>
              <w:rPr>
                <w:rFonts w:cstheme="minorHAnsi"/>
                <w:sz w:val="18"/>
                <w:szCs w:val="18"/>
              </w:rPr>
            </w:pPr>
            <w:bookmarkStart w:id="1" w:name="county"/>
            <w:r w:rsidRPr="00855BA3">
              <w:rPr>
                <w:rFonts w:cstheme="minorHAnsi"/>
                <w:sz w:val="18"/>
                <w:szCs w:val="18"/>
              </w:rPr>
              <w:t>Fairfield</w:t>
            </w:r>
            <w:bookmarkEnd w:id="1"/>
          </w:p>
        </w:tc>
      </w:tr>
      <w:tr w:rsidR="004341A4" w14:paraId="75D47DED" w14:textId="77777777" w:rsidTr="00300916">
        <w:trPr>
          <w:trHeight w:val="64"/>
        </w:trPr>
        <w:tc>
          <w:tcPr>
            <w:tcW w:w="3690" w:type="dxa"/>
            <w:tcBorders>
              <w:top w:val="nil"/>
              <w:left w:val="nil"/>
              <w:bottom w:val="nil"/>
              <w:right w:val="nil"/>
            </w:tcBorders>
            <w:vAlign w:val="center"/>
          </w:tcPr>
          <w:p w14:paraId="3439B39B" w14:textId="77777777" w:rsidR="00300916" w:rsidRPr="00BF2C1D" w:rsidRDefault="006373FE" w:rsidP="00744087">
            <w:pPr>
              <w:jc w:val="right"/>
              <w:rPr>
                <w:rFonts w:cstheme="minorHAnsi"/>
                <w:sz w:val="16"/>
              </w:rPr>
            </w:pPr>
            <w:r w:rsidRPr="00BF2C1D">
              <w:rPr>
                <w:rFonts w:cstheme="minorHAnsi"/>
                <w:sz w:val="16"/>
              </w:rPr>
              <w:t>ROUTE</w:t>
            </w:r>
          </w:p>
        </w:tc>
        <w:tc>
          <w:tcPr>
            <w:tcW w:w="1798" w:type="dxa"/>
            <w:tcBorders>
              <w:top w:val="single" w:sz="4" w:space="0" w:color="auto"/>
              <w:left w:val="nil"/>
              <w:bottom w:val="single" w:sz="4" w:space="0" w:color="auto"/>
              <w:right w:val="nil"/>
            </w:tcBorders>
            <w:vAlign w:val="center"/>
          </w:tcPr>
          <w:p w14:paraId="24AC01F9" w14:textId="77777777" w:rsidR="00300916" w:rsidRPr="00855BA3" w:rsidRDefault="006373FE" w:rsidP="00744087">
            <w:pPr>
              <w:rPr>
                <w:rFonts w:cstheme="minorHAnsi"/>
                <w:sz w:val="18"/>
                <w:szCs w:val="18"/>
              </w:rPr>
            </w:pPr>
            <w:bookmarkStart w:id="2" w:name="route"/>
            <w:r w:rsidRPr="00855BA3">
              <w:rPr>
                <w:rFonts w:cstheme="minorHAnsi"/>
                <w:sz w:val="18"/>
                <w:szCs w:val="18"/>
              </w:rPr>
              <w:t>00033</w:t>
            </w:r>
            <w:bookmarkEnd w:id="2"/>
          </w:p>
        </w:tc>
      </w:tr>
      <w:tr w:rsidR="004341A4" w14:paraId="246AF6B0" w14:textId="77777777" w:rsidTr="00300916">
        <w:trPr>
          <w:trHeight w:val="64"/>
        </w:trPr>
        <w:tc>
          <w:tcPr>
            <w:tcW w:w="3690" w:type="dxa"/>
            <w:tcBorders>
              <w:top w:val="nil"/>
              <w:left w:val="nil"/>
              <w:bottom w:val="nil"/>
              <w:right w:val="nil"/>
            </w:tcBorders>
            <w:vAlign w:val="center"/>
          </w:tcPr>
          <w:p w14:paraId="73EFF072" w14:textId="77777777" w:rsidR="00300916" w:rsidRPr="00BF2C1D" w:rsidRDefault="006373FE" w:rsidP="00744087">
            <w:pPr>
              <w:jc w:val="right"/>
              <w:rPr>
                <w:rFonts w:cstheme="minorHAnsi"/>
                <w:sz w:val="16"/>
              </w:rPr>
            </w:pPr>
            <w:r w:rsidRPr="00BF2C1D">
              <w:rPr>
                <w:rFonts w:cstheme="minorHAnsi"/>
                <w:sz w:val="16"/>
              </w:rPr>
              <w:t>SECTION</w:t>
            </w:r>
          </w:p>
        </w:tc>
        <w:tc>
          <w:tcPr>
            <w:tcW w:w="1798" w:type="dxa"/>
            <w:tcBorders>
              <w:top w:val="single" w:sz="4" w:space="0" w:color="auto"/>
              <w:left w:val="nil"/>
              <w:bottom w:val="single" w:sz="4" w:space="0" w:color="auto"/>
              <w:right w:val="nil"/>
            </w:tcBorders>
            <w:vAlign w:val="center"/>
          </w:tcPr>
          <w:p w14:paraId="56E82F49" w14:textId="77777777" w:rsidR="00300916" w:rsidRPr="00855BA3" w:rsidRDefault="006373FE" w:rsidP="00744087">
            <w:pPr>
              <w:rPr>
                <w:rFonts w:cstheme="minorHAnsi"/>
                <w:sz w:val="18"/>
                <w:szCs w:val="18"/>
              </w:rPr>
            </w:pPr>
            <w:bookmarkStart w:id="3" w:name="section"/>
            <w:r w:rsidRPr="00855BA3">
              <w:rPr>
                <w:rFonts w:cstheme="minorHAnsi"/>
                <w:sz w:val="18"/>
                <w:szCs w:val="18"/>
              </w:rPr>
              <w:t>1.999</w:t>
            </w:r>
            <w:bookmarkEnd w:id="3"/>
          </w:p>
        </w:tc>
      </w:tr>
      <w:tr w:rsidR="004341A4" w14:paraId="26C952EF" w14:textId="77777777" w:rsidTr="00300916">
        <w:trPr>
          <w:trHeight w:val="64"/>
        </w:trPr>
        <w:tc>
          <w:tcPr>
            <w:tcW w:w="3690" w:type="dxa"/>
            <w:tcBorders>
              <w:top w:val="nil"/>
              <w:left w:val="nil"/>
              <w:bottom w:val="nil"/>
              <w:right w:val="nil"/>
            </w:tcBorders>
            <w:vAlign w:val="center"/>
          </w:tcPr>
          <w:p w14:paraId="36867862" w14:textId="77777777" w:rsidR="00300916" w:rsidRPr="00BF2C1D" w:rsidRDefault="006373FE" w:rsidP="00744087">
            <w:pPr>
              <w:jc w:val="right"/>
              <w:rPr>
                <w:rFonts w:cstheme="minorHAnsi"/>
                <w:sz w:val="16"/>
              </w:rPr>
            </w:pPr>
            <w:r w:rsidRPr="00BF2C1D">
              <w:rPr>
                <w:rFonts w:cstheme="minorHAnsi"/>
                <w:sz w:val="16"/>
              </w:rPr>
              <w:t>PARCEL NO.</w:t>
            </w:r>
          </w:p>
        </w:tc>
        <w:tc>
          <w:tcPr>
            <w:tcW w:w="1798" w:type="dxa"/>
            <w:tcBorders>
              <w:top w:val="single" w:sz="4" w:space="0" w:color="auto"/>
              <w:left w:val="nil"/>
              <w:bottom w:val="single" w:sz="4" w:space="0" w:color="auto"/>
              <w:right w:val="nil"/>
            </w:tcBorders>
            <w:vAlign w:val="center"/>
          </w:tcPr>
          <w:p w14:paraId="5FC51527" w14:textId="77777777" w:rsidR="00300916" w:rsidRPr="00855BA3" w:rsidRDefault="006373FE" w:rsidP="00744087">
            <w:pPr>
              <w:rPr>
                <w:rFonts w:cstheme="minorHAnsi"/>
                <w:sz w:val="18"/>
                <w:szCs w:val="18"/>
              </w:rPr>
            </w:pPr>
            <w:bookmarkStart w:id="4" w:name="parcel"/>
            <w:r w:rsidRPr="00855BA3">
              <w:rPr>
                <w:rFonts w:cstheme="minorHAnsi"/>
                <w:sz w:val="18"/>
                <w:szCs w:val="18"/>
              </w:rPr>
              <w:t>37WL</w:t>
            </w:r>
            <w:bookmarkEnd w:id="4"/>
          </w:p>
        </w:tc>
      </w:tr>
      <w:tr w:rsidR="004341A4" w14:paraId="604F1A6F" w14:textId="77777777" w:rsidTr="00300916">
        <w:trPr>
          <w:trHeight w:val="64"/>
        </w:trPr>
        <w:tc>
          <w:tcPr>
            <w:tcW w:w="3690" w:type="dxa"/>
            <w:tcBorders>
              <w:top w:val="nil"/>
              <w:left w:val="nil"/>
              <w:bottom w:val="nil"/>
              <w:right w:val="nil"/>
            </w:tcBorders>
            <w:vAlign w:val="center"/>
          </w:tcPr>
          <w:p w14:paraId="147F6588" w14:textId="77777777" w:rsidR="00300916" w:rsidRPr="00BF2C1D" w:rsidRDefault="006373FE" w:rsidP="00744087">
            <w:pPr>
              <w:jc w:val="right"/>
              <w:rPr>
                <w:rFonts w:cstheme="minorHAnsi"/>
                <w:sz w:val="16"/>
              </w:rPr>
            </w:pPr>
            <w:r w:rsidRPr="00BF2C1D">
              <w:rPr>
                <w:rFonts w:cstheme="minorHAnsi"/>
                <w:sz w:val="16"/>
              </w:rPr>
              <w:t>PROJECT I.D. NO.</w:t>
            </w:r>
          </w:p>
        </w:tc>
        <w:tc>
          <w:tcPr>
            <w:tcW w:w="1798" w:type="dxa"/>
            <w:tcBorders>
              <w:top w:val="single" w:sz="4" w:space="0" w:color="auto"/>
              <w:left w:val="nil"/>
              <w:bottom w:val="single" w:sz="4" w:space="0" w:color="000000"/>
              <w:right w:val="nil"/>
            </w:tcBorders>
            <w:vAlign w:val="center"/>
          </w:tcPr>
          <w:p w14:paraId="7666C98D" w14:textId="77777777" w:rsidR="00300916" w:rsidRPr="00855BA3" w:rsidRDefault="006373FE" w:rsidP="00744087">
            <w:pPr>
              <w:rPr>
                <w:rFonts w:cstheme="minorHAnsi"/>
                <w:sz w:val="18"/>
                <w:szCs w:val="18"/>
              </w:rPr>
            </w:pPr>
            <w:bookmarkStart w:id="5" w:name="pid"/>
            <w:r w:rsidRPr="00855BA3">
              <w:rPr>
                <w:rFonts w:cstheme="minorHAnsi"/>
                <w:sz w:val="18"/>
                <w:szCs w:val="18"/>
              </w:rPr>
              <w:t>77555</w:t>
            </w:r>
            <w:bookmarkEnd w:id="5"/>
          </w:p>
        </w:tc>
      </w:tr>
    </w:tbl>
    <w:p w14:paraId="55B60A09" w14:textId="77777777" w:rsidR="00267435" w:rsidRPr="00D903C0" w:rsidRDefault="00267435" w:rsidP="000D0BC8">
      <w:pPr>
        <w:pStyle w:val="Header"/>
        <w:tabs>
          <w:tab w:val="clear" w:pos="9360"/>
          <w:tab w:val="right" w:pos="11700"/>
        </w:tabs>
        <w:rPr>
          <w:rFonts w:cstheme="minorHAnsi"/>
        </w:rPr>
      </w:pPr>
    </w:p>
    <w:p w14:paraId="43ABE2D2" w14:textId="77777777" w:rsidR="00267435" w:rsidRPr="00BD41A0" w:rsidRDefault="00267435" w:rsidP="000D0BC8">
      <w:pPr>
        <w:spacing w:line="240" w:lineRule="auto"/>
        <w:rPr>
          <w:rFonts w:cstheme="minorHAnsi"/>
          <w:sz w:val="14"/>
        </w:rPr>
        <w:sectPr w:rsidR="00267435" w:rsidRPr="00BD41A0" w:rsidSect="00267435">
          <w:type w:val="continuous"/>
          <w:pgSz w:w="12240" w:h="15840"/>
          <w:pgMar w:top="900" w:right="270" w:bottom="720" w:left="270" w:header="720" w:footer="720" w:gutter="0"/>
          <w:cols w:num="2" w:space="720"/>
          <w:docGrid w:linePitch="360"/>
        </w:sectPr>
      </w:pPr>
    </w:p>
    <w:tbl>
      <w:tblPr>
        <w:tblStyle w:val="GridTable1Light-Accent6"/>
        <w:tblpPr w:leftFromText="180" w:rightFromText="180" w:vertAnchor="text" w:horzAnchor="margin" w:tblpY="226"/>
        <w:tblW w:w="495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622"/>
        <w:gridCol w:w="8201"/>
        <w:gridCol w:w="1750"/>
      </w:tblGrid>
      <w:tr w:rsidR="004341A4" w14:paraId="344E3DDA" w14:textId="77777777" w:rsidTr="004341A4">
        <w:trPr>
          <w:gridAfter w:val="1"/>
          <w:cnfStyle w:val="100000000000" w:firstRow="1" w:lastRow="0" w:firstColumn="0" w:lastColumn="0" w:oddVBand="0" w:evenVBand="0" w:oddHBand="0" w:evenHBand="0" w:firstRowFirstColumn="0" w:firstRowLastColumn="0" w:lastRowFirstColumn="0" w:lastRowLastColumn="0"/>
          <w:wAfter w:w="4116" w:type="dxa"/>
          <w:trHeight w:val="256"/>
        </w:trPr>
        <w:tc>
          <w:tcPr>
            <w:cnfStyle w:val="001000000000" w:firstRow="0" w:lastRow="0" w:firstColumn="1" w:lastColumn="0" w:oddVBand="0" w:evenVBand="0" w:oddHBand="0" w:evenHBand="0" w:firstRowFirstColumn="0" w:firstRowLastColumn="0" w:lastRowFirstColumn="0" w:lastRowLastColumn="0"/>
            <w:tcW w:w="884" w:type="pct"/>
            <w:gridSpan w:val="2"/>
            <w:tcBorders>
              <w:bottom w:val="single" w:sz="4" w:space="0" w:color="000000"/>
            </w:tcBorders>
            <w:shd w:val="clear" w:color="auto" w:fill="1F3864" w:themeFill="accent1" w:themeFillShade="80"/>
            <w:vAlign w:val="center"/>
          </w:tcPr>
          <w:p w14:paraId="34296D2E" w14:textId="77777777" w:rsidR="001060DD" w:rsidRPr="00136C5E" w:rsidRDefault="006373FE" w:rsidP="00300916">
            <w:pPr>
              <w:jc w:val="center"/>
              <w:rPr>
                <w:rFonts w:cstheme="minorHAnsi"/>
                <w:sz w:val="18"/>
                <w:szCs w:val="18"/>
              </w:rPr>
            </w:pPr>
            <w:r w:rsidRPr="00136C5E">
              <w:rPr>
                <w:rFonts w:cstheme="minorHAnsi"/>
                <w:sz w:val="18"/>
              </w:rPr>
              <w:t xml:space="preserve">Value </w:t>
            </w:r>
            <w:r w:rsidRPr="00136C5E">
              <w:rPr>
                <w:rFonts w:cstheme="minorHAnsi"/>
                <w:sz w:val="18"/>
              </w:rPr>
              <w:t>Estimate</w:t>
            </w:r>
          </w:p>
        </w:tc>
      </w:tr>
      <w:tr w:rsidR="004341A4" w14:paraId="6822F43E" w14:textId="77777777" w:rsidTr="004341A4">
        <w:trPr>
          <w:trHeight w:val="256"/>
        </w:trPr>
        <w:tc>
          <w:tcPr>
            <w:cnfStyle w:val="001000000000" w:firstRow="0" w:lastRow="0" w:firstColumn="1" w:lastColumn="0" w:oddVBand="0" w:evenVBand="0" w:oddHBand="0" w:evenHBand="0" w:firstRowFirstColumn="0" w:firstRowLastColumn="0" w:lastRowFirstColumn="0" w:lastRowLastColumn="0"/>
            <w:tcW w:w="701" w:type="pct"/>
            <w:tcBorders>
              <w:top w:val="single" w:sz="4" w:space="0" w:color="000000"/>
            </w:tcBorders>
            <w:shd w:val="clear" w:color="auto" w:fill="D9D9D9" w:themeFill="background1" w:themeFillShade="D9"/>
            <w:vAlign w:val="center"/>
          </w:tcPr>
          <w:p w14:paraId="38A79A41" w14:textId="77777777" w:rsidR="001060DD" w:rsidRPr="00300916" w:rsidRDefault="006373FE" w:rsidP="001060DD">
            <w:pPr>
              <w:jc w:val="center"/>
              <w:rPr>
                <w:rFonts w:cstheme="minorHAnsi"/>
                <w:sz w:val="16"/>
              </w:rPr>
            </w:pPr>
            <w:bookmarkStart w:id="6" w:name="TABLEHEADER"/>
            <w:bookmarkEnd w:id="6"/>
            <w:r w:rsidRPr="00300916">
              <w:rPr>
                <w:rFonts w:cstheme="minorHAnsi"/>
                <w:b w:val="0"/>
                <w:sz w:val="16"/>
              </w:rPr>
              <w:t>Parcel</w:t>
            </w:r>
          </w:p>
        </w:tc>
        <w:tc>
          <w:tcPr>
            <w:tcW w:w="3543" w:type="pct"/>
            <w:shd w:val="clear" w:color="auto" w:fill="D9D9D9" w:themeFill="background1" w:themeFillShade="D9"/>
            <w:vAlign w:val="center"/>
          </w:tcPr>
          <w:p w14:paraId="10D58316" w14:textId="77777777" w:rsidR="001060DD" w:rsidRPr="00300916" w:rsidRDefault="006373FE" w:rsidP="001060DD">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8"/>
              </w:rPr>
            </w:pPr>
            <w:r w:rsidRPr="00300916">
              <w:rPr>
                <w:rFonts w:cstheme="minorHAnsi"/>
                <w:sz w:val="16"/>
                <w:szCs w:val="18"/>
              </w:rPr>
              <w:t>Items included in this estimate</w:t>
            </w:r>
          </w:p>
        </w:tc>
        <w:tc>
          <w:tcPr>
            <w:tcW w:w="756" w:type="pct"/>
            <w:shd w:val="clear" w:color="auto" w:fill="D9D9D9" w:themeFill="background1" w:themeFillShade="D9"/>
            <w:vAlign w:val="center"/>
          </w:tcPr>
          <w:p w14:paraId="6A12A3CE" w14:textId="77777777" w:rsidR="001060DD" w:rsidRPr="00300916" w:rsidRDefault="006373FE" w:rsidP="001060DD">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8"/>
              </w:rPr>
            </w:pPr>
            <w:r w:rsidRPr="00300916">
              <w:rPr>
                <w:rFonts w:cstheme="minorHAnsi"/>
                <w:sz w:val="16"/>
                <w:szCs w:val="18"/>
              </w:rPr>
              <w:t>Original</w:t>
            </w:r>
          </w:p>
        </w:tc>
      </w:tr>
      <w:tr w:rsidR="004341A4" w14:paraId="1AE12E5A" w14:textId="77777777" w:rsidTr="004341A4">
        <w:trPr>
          <w:trHeight w:val="166"/>
        </w:trPr>
        <w:tc>
          <w:tcPr>
            <w:cnfStyle w:val="001000000000" w:firstRow="0" w:lastRow="0" w:firstColumn="1" w:lastColumn="0" w:oddVBand="0" w:evenVBand="0" w:oddHBand="0" w:evenHBand="0" w:firstRowFirstColumn="0" w:firstRowLastColumn="0" w:lastRowFirstColumn="0" w:lastRowLastColumn="0"/>
            <w:tcW w:w="4244" w:type="pct"/>
            <w:gridSpan w:val="2"/>
            <w:shd w:val="clear" w:color="auto" w:fill="D9D9D9" w:themeFill="background1" w:themeFillShade="D9"/>
            <w:vAlign w:val="center"/>
          </w:tcPr>
          <w:p w14:paraId="2000E9A2" w14:textId="77777777" w:rsidR="001017D4" w:rsidRPr="00300916" w:rsidRDefault="006373FE" w:rsidP="00300916">
            <w:pPr>
              <w:rPr>
                <w:rFonts w:cstheme="minorHAnsi"/>
                <w:sz w:val="16"/>
              </w:rPr>
            </w:pPr>
            <w:r w:rsidRPr="00300916">
              <w:rPr>
                <w:rFonts w:cstheme="minorHAnsi"/>
                <w:b w:val="0"/>
                <w:sz w:val="16"/>
              </w:rPr>
              <w:t>Land</w:t>
            </w:r>
          </w:p>
        </w:tc>
        <w:tc>
          <w:tcPr>
            <w:tcW w:w="756" w:type="pct"/>
            <w:shd w:val="clear" w:color="auto" w:fill="D9D9D9" w:themeFill="background1" w:themeFillShade="D9"/>
            <w:vAlign w:val="center"/>
          </w:tcPr>
          <w:p w14:paraId="5E0FB009" w14:textId="77777777" w:rsidR="001017D4" w:rsidRPr="00D903C0" w:rsidRDefault="001017D4" w:rsidP="00300916">
            <w:pPr>
              <w:cnfStyle w:val="000000000000" w:firstRow="0" w:lastRow="0" w:firstColumn="0" w:lastColumn="0" w:oddVBand="0" w:evenVBand="0" w:oddHBand="0" w:evenHBand="0" w:firstRowFirstColumn="0" w:firstRowLastColumn="0" w:lastRowFirstColumn="0" w:lastRowLastColumn="0"/>
              <w:rPr>
                <w:rFonts w:cstheme="minorHAnsi"/>
                <w:b/>
                <w:sz w:val="18"/>
              </w:rPr>
            </w:pPr>
            <w:bookmarkStart w:id="7" w:name="LANDHEADER"/>
            <w:bookmarkEnd w:id="7"/>
          </w:p>
        </w:tc>
      </w:tr>
      <w:tr w:rsidR="004341A4" w14:paraId="7A8550E4" w14:textId="77777777" w:rsidTr="004341A4">
        <w:tc>
          <w:tcPr>
            <w:cnfStyle w:val="001000000000" w:firstRow="0" w:lastRow="0" w:firstColumn="1" w:lastColumn="0" w:oddVBand="0" w:evenVBand="0" w:oddHBand="0" w:evenHBand="0" w:firstRowFirstColumn="0" w:firstRowLastColumn="0" w:lastRowFirstColumn="0" w:lastRowLastColumn="0"/>
            <w:tcW w:w="0" w:type="dxa"/>
            <w:tcMar>
              <w:top w:w="0" w:type="dxa"/>
              <w:left w:w="0" w:type="dxa"/>
              <w:bottom w:w="100" w:type="dxa"/>
              <w:right w:w="0" w:type="dxa"/>
            </w:tcMar>
            <w:vAlign w:val="center"/>
          </w:tcPr>
          <w:p w14:paraId="4BBBE772" w14:textId="77777777" w:rsidR="004341A4" w:rsidRDefault="006373FE">
            <w:r>
              <w:t>37WL</w:t>
            </w:r>
            <w:r>
              <w:t xml:space="preserve"> </w:t>
            </w:r>
            <w:r>
              <w:br/>
            </w:r>
          </w:p>
        </w:tc>
        <w:tc>
          <w:tcPr>
            <w:tcW w:w="0" w:type="dxa"/>
            <w:tcMar>
              <w:top w:w="0" w:type="dxa"/>
              <w:left w:w="0" w:type="dxa"/>
              <w:bottom w:w="100" w:type="dxa"/>
              <w:right w:w="0" w:type="dxa"/>
            </w:tcMar>
            <w:vAlign w:val="center"/>
          </w:tcPr>
          <w:p w14:paraId="02AAD576" w14:textId="77777777" w:rsidR="004341A4" w:rsidRDefault="006373FE">
            <w:pPr>
              <w:cnfStyle w:val="000000000000" w:firstRow="0" w:lastRow="0" w:firstColumn="0" w:lastColumn="0" w:oddVBand="0" w:evenVBand="0" w:oddHBand="0" w:evenHBand="0" w:firstRowFirstColumn="0" w:firstRowLastColumn="0" w:lastRowFirstColumn="0" w:lastRowLastColumn="0"/>
            </w:pPr>
            <w:r>
              <w:t>1.0000 Lot of Residential land @ $50,000.00 per Lot</w:t>
            </w:r>
            <w:r>
              <w:t xml:space="preserve"> </w:t>
            </w:r>
            <w:r>
              <w:br/>
            </w:r>
          </w:p>
        </w:tc>
        <w:tc>
          <w:tcPr>
            <w:tcW w:w="756" w:type="pct"/>
            <w:vAlign w:val="center"/>
          </w:tcPr>
          <w:p w14:paraId="6ECBC98F" w14:textId="77777777" w:rsidR="00DD20F1" w:rsidRPr="00300916" w:rsidRDefault="00DD20F1" w:rsidP="00300916">
            <w:pPr>
              <w:jc w:val="right"/>
              <w:cnfStyle w:val="000000000000" w:firstRow="0" w:lastRow="0" w:firstColumn="0" w:lastColumn="0" w:oddVBand="0" w:evenVBand="0" w:oddHBand="0" w:evenHBand="0" w:firstRowFirstColumn="0" w:firstRowLastColumn="0" w:lastRowFirstColumn="0" w:lastRowLastColumn="0"/>
              <w:rPr>
                <w:rFonts w:cstheme="minorHAnsi"/>
                <w:sz w:val="14"/>
                <w:szCs w:val="18"/>
              </w:rPr>
            </w:pPr>
          </w:p>
          <w:p w14:paraId="1B006DE9" w14:textId="77777777" w:rsidR="004341A4" w:rsidRDefault="006373FE">
            <w:pPr>
              <w:cnfStyle w:val="000000000000" w:firstRow="0" w:lastRow="0" w:firstColumn="0" w:lastColumn="0" w:oddVBand="0" w:evenVBand="0" w:oddHBand="0" w:evenHBand="0" w:firstRowFirstColumn="0" w:firstRowLastColumn="0" w:lastRowFirstColumn="0" w:lastRowLastColumn="0"/>
            </w:pPr>
            <w:r>
              <w:t>$50,000.00</w:t>
            </w:r>
          </w:p>
        </w:tc>
      </w:tr>
      <w:tr w:rsidR="004341A4" w14:paraId="1EF60CB3" w14:textId="77777777" w:rsidTr="004341A4">
        <w:trPr>
          <w:trHeight w:val="64"/>
        </w:trPr>
        <w:tc>
          <w:tcPr>
            <w:cnfStyle w:val="001000000000" w:firstRow="0" w:lastRow="0" w:firstColumn="1" w:lastColumn="0" w:oddVBand="0" w:evenVBand="0" w:oddHBand="0" w:evenHBand="0" w:firstRowFirstColumn="0" w:firstRowLastColumn="0" w:lastRowFirstColumn="0" w:lastRowLastColumn="0"/>
            <w:tcW w:w="4244" w:type="pct"/>
            <w:gridSpan w:val="2"/>
            <w:shd w:val="clear" w:color="auto" w:fill="D9D9D9" w:themeFill="background1" w:themeFillShade="D9"/>
            <w:vAlign w:val="center"/>
          </w:tcPr>
          <w:p w14:paraId="677D4572" w14:textId="77777777" w:rsidR="006138B0" w:rsidRPr="00300916" w:rsidRDefault="006373FE" w:rsidP="00300916">
            <w:pPr>
              <w:rPr>
                <w:rFonts w:cstheme="minorHAnsi"/>
                <w:sz w:val="16"/>
              </w:rPr>
            </w:pPr>
            <w:r w:rsidRPr="00300916">
              <w:rPr>
                <w:rFonts w:cstheme="minorHAnsi"/>
                <w:b w:val="0"/>
                <w:sz w:val="16"/>
              </w:rPr>
              <w:t>Improvements</w:t>
            </w:r>
          </w:p>
        </w:tc>
        <w:tc>
          <w:tcPr>
            <w:tcW w:w="756" w:type="pct"/>
            <w:shd w:val="clear" w:color="auto" w:fill="D9D9D9" w:themeFill="background1" w:themeFillShade="D9"/>
            <w:vAlign w:val="center"/>
          </w:tcPr>
          <w:p w14:paraId="4BDE01C0" w14:textId="77777777" w:rsidR="006138B0" w:rsidRPr="00D903C0" w:rsidRDefault="006138B0" w:rsidP="00300916">
            <w:pPr>
              <w:cnfStyle w:val="000000000000" w:firstRow="0" w:lastRow="0" w:firstColumn="0" w:lastColumn="0" w:oddVBand="0" w:evenVBand="0" w:oddHBand="0" w:evenHBand="0" w:firstRowFirstColumn="0" w:firstRowLastColumn="0" w:lastRowFirstColumn="0" w:lastRowLastColumn="0"/>
              <w:rPr>
                <w:rFonts w:cstheme="minorHAnsi"/>
                <w:b/>
                <w:sz w:val="18"/>
              </w:rPr>
            </w:pPr>
            <w:bookmarkStart w:id="8" w:name="IMPROVEMENTHEADER"/>
            <w:bookmarkEnd w:id="8"/>
          </w:p>
        </w:tc>
      </w:tr>
      <w:tr w:rsidR="004341A4" w14:paraId="0019E1B0" w14:textId="77777777" w:rsidTr="004341A4">
        <w:tc>
          <w:tcPr>
            <w:cnfStyle w:val="001000000000" w:firstRow="0" w:lastRow="0" w:firstColumn="1" w:lastColumn="0" w:oddVBand="0" w:evenVBand="0" w:oddHBand="0" w:evenHBand="0" w:firstRowFirstColumn="0" w:firstRowLastColumn="0" w:lastRowFirstColumn="0" w:lastRowLastColumn="0"/>
            <w:tcW w:w="0" w:type="dxa"/>
            <w:tcMar>
              <w:top w:w="0" w:type="dxa"/>
              <w:left w:w="0" w:type="dxa"/>
              <w:bottom w:w="100" w:type="dxa"/>
              <w:right w:w="0" w:type="dxa"/>
            </w:tcMar>
            <w:vAlign w:val="center"/>
          </w:tcPr>
          <w:p w14:paraId="605202B8" w14:textId="77777777" w:rsidR="004341A4" w:rsidRDefault="006373FE">
            <w:r>
              <w:t>37WL</w:t>
            </w:r>
            <w:r>
              <w:t xml:space="preserve"> </w:t>
            </w:r>
            <w:r>
              <w:br/>
            </w:r>
          </w:p>
        </w:tc>
        <w:tc>
          <w:tcPr>
            <w:tcW w:w="0" w:type="dxa"/>
            <w:tcMar>
              <w:top w:w="0" w:type="dxa"/>
              <w:left w:w="0" w:type="dxa"/>
              <w:bottom w:w="100" w:type="dxa"/>
              <w:right w:w="0" w:type="dxa"/>
            </w:tcMar>
            <w:vAlign w:val="center"/>
          </w:tcPr>
          <w:p w14:paraId="453F48ED" w14:textId="77777777" w:rsidR="004341A4" w:rsidRDefault="006373FE">
            <w:pPr>
              <w:cnfStyle w:val="000000000000" w:firstRow="0" w:lastRow="0" w:firstColumn="0" w:lastColumn="0" w:oddVBand="0" w:evenVBand="0" w:oddHBand="0" w:evenHBand="0" w:firstRowFirstColumn="0" w:firstRowLastColumn="0" w:lastRowFirstColumn="0" w:lastRowLastColumn="0"/>
            </w:pPr>
            <w:r>
              <w:t>+/-1,080 SF Single-Family Residential Dwelling 1 @ $155,729.00 per Each @ 60.00 %</w:t>
            </w:r>
            <w:r>
              <w:t xml:space="preserve"> </w:t>
            </w:r>
            <w:r>
              <w:br/>
            </w:r>
          </w:p>
        </w:tc>
        <w:tc>
          <w:tcPr>
            <w:tcW w:w="756" w:type="pct"/>
            <w:vAlign w:val="center"/>
          </w:tcPr>
          <w:p w14:paraId="27DD7E25" w14:textId="77777777" w:rsidR="00DD20F1" w:rsidRPr="00300916" w:rsidRDefault="00DD20F1" w:rsidP="00300916">
            <w:pPr>
              <w:jc w:val="right"/>
              <w:cnfStyle w:val="000000000000" w:firstRow="0" w:lastRow="0" w:firstColumn="0" w:lastColumn="0" w:oddVBand="0" w:evenVBand="0" w:oddHBand="0" w:evenHBand="0" w:firstRowFirstColumn="0" w:firstRowLastColumn="0" w:lastRowFirstColumn="0" w:lastRowLastColumn="0"/>
              <w:rPr>
                <w:rFonts w:cstheme="minorHAnsi"/>
                <w:sz w:val="14"/>
              </w:rPr>
            </w:pPr>
          </w:p>
          <w:p w14:paraId="773D274E" w14:textId="77777777" w:rsidR="004341A4" w:rsidRDefault="006373FE">
            <w:pPr>
              <w:cnfStyle w:val="000000000000" w:firstRow="0" w:lastRow="0" w:firstColumn="0" w:lastColumn="0" w:oddVBand="0" w:evenVBand="0" w:oddHBand="0" w:evenHBand="0" w:firstRowFirstColumn="0" w:firstRowLastColumn="0" w:lastRowFirstColumn="0" w:lastRowLastColumn="0"/>
            </w:pPr>
            <w:r>
              <w:t>$62,295.00</w:t>
            </w:r>
          </w:p>
        </w:tc>
      </w:tr>
      <w:tr w:rsidR="004341A4" w14:paraId="2E4FED7E" w14:textId="77777777" w:rsidTr="004341A4">
        <w:tc>
          <w:tcPr>
            <w:cnfStyle w:val="001000000000" w:firstRow="0" w:lastRow="0" w:firstColumn="1" w:lastColumn="0" w:oddVBand="0" w:evenVBand="0" w:oddHBand="0" w:evenHBand="0" w:firstRowFirstColumn="0" w:firstRowLastColumn="0" w:lastRowFirstColumn="0" w:lastRowLastColumn="0"/>
            <w:tcW w:w="0" w:type="dxa"/>
            <w:tcMar>
              <w:top w:w="0" w:type="dxa"/>
              <w:left w:w="0" w:type="dxa"/>
              <w:bottom w:w="100" w:type="dxa"/>
              <w:right w:w="0" w:type="dxa"/>
            </w:tcMar>
            <w:vAlign w:val="center"/>
          </w:tcPr>
          <w:p w14:paraId="7BF3C446" w14:textId="77777777" w:rsidR="004341A4" w:rsidRDefault="006373FE">
            <w:r>
              <w:t>37WL</w:t>
            </w:r>
            <w:r>
              <w:t xml:space="preserve"> </w:t>
            </w:r>
            <w:r>
              <w:br/>
            </w:r>
          </w:p>
        </w:tc>
        <w:tc>
          <w:tcPr>
            <w:tcW w:w="0" w:type="dxa"/>
            <w:tcMar>
              <w:top w:w="0" w:type="dxa"/>
              <w:left w:w="0" w:type="dxa"/>
              <w:bottom w:w="100" w:type="dxa"/>
              <w:right w:w="0" w:type="dxa"/>
            </w:tcMar>
            <w:vAlign w:val="center"/>
          </w:tcPr>
          <w:p w14:paraId="51BD9922" w14:textId="77777777" w:rsidR="004341A4" w:rsidRDefault="006373FE">
            <w:pPr>
              <w:cnfStyle w:val="000000000000" w:firstRow="0" w:lastRow="0" w:firstColumn="0" w:lastColumn="0" w:oddVBand="0" w:evenVBand="0" w:oddHBand="0" w:evenHBand="0" w:firstRowFirstColumn="0" w:firstRowLastColumn="0" w:lastRowFirstColumn="0" w:lastRowLastColumn="0"/>
            </w:pPr>
            <w:r>
              <w:t>+/-528 SF Detached Garage 1 @ $24,108.00 per Each @ 50.00 %</w:t>
            </w:r>
            <w:r>
              <w:t xml:space="preserve"> </w:t>
            </w:r>
            <w:r>
              <w:br/>
            </w:r>
          </w:p>
        </w:tc>
        <w:tc>
          <w:tcPr>
            <w:tcW w:w="756" w:type="pct"/>
            <w:vAlign w:val="center"/>
          </w:tcPr>
          <w:p w14:paraId="71A87D99" w14:textId="77777777" w:rsidR="00DD20F1" w:rsidRPr="00300916" w:rsidRDefault="00DD20F1" w:rsidP="00300916">
            <w:pPr>
              <w:jc w:val="right"/>
              <w:cnfStyle w:val="000000000000" w:firstRow="0" w:lastRow="0" w:firstColumn="0" w:lastColumn="0" w:oddVBand="0" w:evenVBand="0" w:oddHBand="0" w:evenHBand="0" w:firstRowFirstColumn="0" w:firstRowLastColumn="0" w:lastRowFirstColumn="0" w:lastRowLastColumn="0"/>
              <w:rPr>
                <w:rFonts w:cstheme="minorHAnsi"/>
                <w:sz w:val="14"/>
              </w:rPr>
            </w:pPr>
          </w:p>
          <w:p w14:paraId="67E74506" w14:textId="77777777" w:rsidR="004341A4" w:rsidRDefault="006373FE">
            <w:pPr>
              <w:cnfStyle w:val="000000000000" w:firstRow="0" w:lastRow="0" w:firstColumn="0" w:lastColumn="0" w:oddVBand="0" w:evenVBand="0" w:oddHBand="0" w:evenHBand="0" w:firstRowFirstColumn="0" w:firstRowLastColumn="0" w:lastRowFirstColumn="0" w:lastRowLastColumn="0"/>
            </w:pPr>
            <w:r>
              <w:t>$12,055.00</w:t>
            </w:r>
          </w:p>
        </w:tc>
      </w:tr>
      <w:tr w:rsidR="004341A4" w14:paraId="28F17315" w14:textId="77777777" w:rsidTr="004341A4">
        <w:tc>
          <w:tcPr>
            <w:cnfStyle w:val="001000000000" w:firstRow="0" w:lastRow="0" w:firstColumn="1" w:lastColumn="0" w:oddVBand="0" w:evenVBand="0" w:oddHBand="0" w:evenHBand="0" w:firstRowFirstColumn="0" w:firstRowLastColumn="0" w:lastRowFirstColumn="0" w:lastRowLastColumn="0"/>
            <w:tcW w:w="0" w:type="dxa"/>
            <w:tcMar>
              <w:top w:w="0" w:type="dxa"/>
              <w:left w:w="0" w:type="dxa"/>
              <w:bottom w:w="100" w:type="dxa"/>
              <w:right w:w="0" w:type="dxa"/>
            </w:tcMar>
            <w:vAlign w:val="center"/>
          </w:tcPr>
          <w:p w14:paraId="4B56CD58" w14:textId="77777777" w:rsidR="004341A4" w:rsidRDefault="006373FE">
            <w:r>
              <w:t>37WL</w:t>
            </w:r>
            <w:r>
              <w:t xml:space="preserve"> </w:t>
            </w:r>
            <w:r>
              <w:br/>
            </w:r>
          </w:p>
        </w:tc>
        <w:tc>
          <w:tcPr>
            <w:tcW w:w="0" w:type="dxa"/>
            <w:tcMar>
              <w:top w:w="0" w:type="dxa"/>
              <w:left w:w="0" w:type="dxa"/>
              <w:bottom w:w="100" w:type="dxa"/>
              <w:right w:w="0" w:type="dxa"/>
            </w:tcMar>
            <w:vAlign w:val="center"/>
          </w:tcPr>
          <w:p w14:paraId="5C108940" w14:textId="77777777" w:rsidR="004341A4" w:rsidRDefault="006373FE">
            <w:pPr>
              <w:cnfStyle w:val="000000000000" w:firstRow="0" w:lastRow="0" w:firstColumn="0" w:lastColumn="0" w:oddVBand="0" w:evenVBand="0" w:oddHBand="0" w:evenHBand="0" w:firstRowFirstColumn="0" w:firstRowLastColumn="0" w:lastRowFirstColumn="0" w:lastRowLastColumn="0"/>
            </w:pPr>
            <w:r>
              <w:t>+/-155 SF Wood Shed 1 @ $5,038.00 per Each @ 75.00 %</w:t>
            </w:r>
            <w:r>
              <w:t xml:space="preserve"> </w:t>
            </w:r>
            <w:r>
              <w:br/>
            </w:r>
          </w:p>
        </w:tc>
        <w:tc>
          <w:tcPr>
            <w:tcW w:w="756" w:type="pct"/>
            <w:vAlign w:val="center"/>
          </w:tcPr>
          <w:p w14:paraId="016E45C1" w14:textId="77777777" w:rsidR="00DD20F1" w:rsidRPr="00300916" w:rsidRDefault="00DD20F1" w:rsidP="00300916">
            <w:pPr>
              <w:jc w:val="right"/>
              <w:cnfStyle w:val="000000000000" w:firstRow="0" w:lastRow="0" w:firstColumn="0" w:lastColumn="0" w:oddVBand="0" w:evenVBand="0" w:oddHBand="0" w:evenHBand="0" w:firstRowFirstColumn="0" w:firstRowLastColumn="0" w:lastRowFirstColumn="0" w:lastRowLastColumn="0"/>
              <w:rPr>
                <w:rFonts w:cstheme="minorHAnsi"/>
                <w:sz w:val="14"/>
              </w:rPr>
            </w:pPr>
          </w:p>
          <w:p w14:paraId="7E76A6FF" w14:textId="77777777" w:rsidR="004341A4" w:rsidRDefault="006373FE">
            <w:pPr>
              <w:cnfStyle w:val="000000000000" w:firstRow="0" w:lastRow="0" w:firstColumn="0" w:lastColumn="0" w:oddVBand="0" w:evenVBand="0" w:oddHBand="0" w:evenHBand="0" w:firstRowFirstColumn="0" w:firstRowLastColumn="0" w:lastRowFirstColumn="0" w:lastRowLastColumn="0"/>
            </w:pPr>
            <w:r>
              <w:t>$1,260.00</w:t>
            </w:r>
          </w:p>
        </w:tc>
      </w:tr>
      <w:tr w:rsidR="004341A4" w14:paraId="79B9720B" w14:textId="77777777" w:rsidTr="004341A4">
        <w:tc>
          <w:tcPr>
            <w:cnfStyle w:val="001000000000" w:firstRow="0" w:lastRow="0" w:firstColumn="1" w:lastColumn="0" w:oddVBand="0" w:evenVBand="0" w:oddHBand="0" w:evenHBand="0" w:firstRowFirstColumn="0" w:firstRowLastColumn="0" w:lastRowFirstColumn="0" w:lastRowLastColumn="0"/>
            <w:tcW w:w="0" w:type="dxa"/>
            <w:tcMar>
              <w:top w:w="0" w:type="dxa"/>
              <w:left w:w="0" w:type="dxa"/>
              <w:bottom w:w="100" w:type="dxa"/>
              <w:right w:w="0" w:type="dxa"/>
            </w:tcMar>
            <w:vAlign w:val="center"/>
          </w:tcPr>
          <w:p w14:paraId="51D8C7F7" w14:textId="77777777" w:rsidR="004341A4" w:rsidRDefault="006373FE">
            <w:r>
              <w:t>37WL</w:t>
            </w:r>
            <w:r>
              <w:t xml:space="preserve"> </w:t>
            </w:r>
            <w:r>
              <w:br/>
            </w:r>
          </w:p>
        </w:tc>
        <w:tc>
          <w:tcPr>
            <w:tcW w:w="0" w:type="dxa"/>
            <w:tcMar>
              <w:top w:w="0" w:type="dxa"/>
              <w:left w:w="0" w:type="dxa"/>
              <w:bottom w:w="100" w:type="dxa"/>
              <w:right w:w="0" w:type="dxa"/>
            </w:tcMar>
            <w:vAlign w:val="center"/>
          </w:tcPr>
          <w:p w14:paraId="047C38AF" w14:textId="77777777" w:rsidR="004341A4" w:rsidRDefault="006373FE">
            <w:pPr>
              <w:cnfStyle w:val="000000000000" w:firstRow="0" w:lastRow="0" w:firstColumn="0" w:lastColumn="0" w:oddVBand="0" w:evenVBand="0" w:oddHBand="0" w:evenHBand="0" w:firstRowFirstColumn="0" w:firstRowLastColumn="0" w:lastRowFirstColumn="0" w:lastRowLastColumn="0"/>
            </w:pPr>
            <w:r>
              <w:t>+/-140 SF Metal Shed 1 @ $2,219.00 per Each @ 15.00 %</w:t>
            </w:r>
            <w:r>
              <w:t xml:space="preserve"> </w:t>
            </w:r>
            <w:r>
              <w:br/>
            </w:r>
          </w:p>
        </w:tc>
        <w:tc>
          <w:tcPr>
            <w:tcW w:w="756" w:type="pct"/>
            <w:vAlign w:val="center"/>
          </w:tcPr>
          <w:p w14:paraId="2C973EE8" w14:textId="77777777" w:rsidR="00DD20F1" w:rsidRPr="00300916" w:rsidRDefault="00DD20F1" w:rsidP="00300916">
            <w:pPr>
              <w:jc w:val="right"/>
              <w:cnfStyle w:val="000000000000" w:firstRow="0" w:lastRow="0" w:firstColumn="0" w:lastColumn="0" w:oddVBand="0" w:evenVBand="0" w:oddHBand="0" w:evenHBand="0" w:firstRowFirstColumn="0" w:firstRowLastColumn="0" w:lastRowFirstColumn="0" w:lastRowLastColumn="0"/>
              <w:rPr>
                <w:rFonts w:cstheme="minorHAnsi"/>
                <w:sz w:val="14"/>
              </w:rPr>
            </w:pPr>
          </w:p>
          <w:p w14:paraId="41552000" w14:textId="77777777" w:rsidR="004341A4" w:rsidRDefault="006373FE">
            <w:pPr>
              <w:cnfStyle w:val="000000000000" w:firstRow="0" w:lastRow="0" w:firstColumn="0" w:lastColumn="0" w:oddVBand="0" w:evenVBand="0" w:oddHBand="0" w:evenHBand="0" w:firstRowFirstColumn="0" w:firstRowLastColumn="0" w:lastRowFirstColumn="0" w:lastRowLastColumn="0"/>
            </w:pPr>
            <w:r>
              <w:t>$1,890.00</w:t>
            </w:r>
          </w:p>
        </w:tc>
      </w:tr>
      <w:tr w:rsidR="004341A4" w14:paraId="47BB172F" w14:textId="77777777" w:rsidTr="004341A4">
        <w:tc>
          <w:tcPr>
            <w:cnfStyle w:val="001000000000" w:firstRow="0" w:lastRow="0" w:firstColumn="1" w:lastColumn="0" w:oddVBand="0" w:evenVBand="0" w:oddHBand="0" w:evenHBand="0" w:firstRowFirstColumn="0" w:firstRowLastColumn="0" w:lastRowFirstColumn="0" w:lastRowLastColumn="0"/>
            <w:tcW w:w="0" w:type="dxa"/>
            <w:tcMar>
              <w:top w:w="0" w:type="dxa"/>
              <w:left w:w="0" w:type="dxa"/>
              <w:bottom w:w="100" w:type="dxa"/>
              <w:right w:w="0" w:type="dxa"/>
            </w:tcMar>
            <w:vAlign w:val="center"/>
          </w:tcPr>
          <w:p w14:paraId="5A590C3A" w14:textId="77777777" w:rsidR="004341A4" w:rsidRDefault="006373FE">
            <w:r>
              <w:t>37WL</w:t>
            </w:r>
            <w:r>
              <w:t xml:space="preserve"> </w:t>
            </w:r>
            <w:r>
              <w:br/>
            </w:r>
          </w:p>
        </w:tc>
        <w:tc>
          <w:tcPr>
            <w:tcW w:w="0" w:type="dxa"/>
            <w:tcMar>
              <w:top w:w="0" w:type="dxa"/>
              <w:left w:w="0" w:type="dxa"/>
              <w:bottom w:w="100" w:type="dxa"/>
              <w:right w:w="0" w:type="dxa"/>
            </w:tcMar>
            <w:vAlign w:val="center"/>
          </w:tcPr>
          <w:p w14:paraId="2536ED35" w14:textId="77777777" w:rsidR="004341A4" w:rsidRDefault="006373FE">
            <w:pPr>
              <w:cnfStyle w:val="000000000000" w:firstRow="0" w:lastRow="0" w:firstColumn="0" w:lastColumn="0" w:oddVBand="0" w:evenVBand="0" w:oddHBand="0" w:evenHBand="0" w:firstRowFirstColumn="0" w:firstRowLastColumn="0" w:lastRowFirstColumn="0" w:lastRowLastColumn="0"/>
            </w:pPr>
            <w:r>
              <w:t xml:space="preserve">All </w:t>
            </w:r>
            <w:r>
              <w:t>other site improvements (15% of the total value less the pool) @ $22,200.00 per All</w:t>
            </w:r>
            <w:r>
              <w:t xml:space="preserve"> </w:t>
            </w:r>
            <w:r>
              <w:br/>
            </w:r>
          </w:p>
        </w:tc>
        <w:tc>
          <w:tcPr>
            <w:tcW w:w="756" w:type="pct"/>
            <w:vAlign w:val="center"/>
          </w:tcPr>
          <w:p w14:paraId="4736BF74" w14:textId="77777777" w:rsidR="00DD20F1" w:rsidRPr="00300916" w:rsidRDefault="00DD20F1" w:rsidP="00300916">
            <w:pPr>
              <w:jc w:val="right"/>
              <w:cnfStyle w:val="000000000000" w:firstRow="0" w:lastRow="0" w:firstColumn="0" w:lastColumn="0" w:oddVBand="0" w:evenVBand="0" w:oddHBand="0" w:evenHBand="0" w:firstRowFirstColumn="0" w:firstRowLastColumn="0" w:lastRowFirstColumn="0" w:lastRowLastColumn="0"/>
              <w:rPr>
                <w:rFonts w:cstheme="minorHAnsi"/>
                <w:sz w:val="14"/>
              </w:rPr>
            </w:pPr>
          </w:p>
          <w:p w14:paraId="1A5B9DA2" w14:textId="77777777" w:rsidR="004341A4" w:rsidRDefault="006373FE">
            <w:pPr>
              <w:cnfStyle w:val="000000000000" w:firstRow="0" w:lastRow="0" w:firstColumn="0" w:lastColumn="0" w:oddVBand="0" w:evenVBand="0" w:oddHBand="0" w:evenHBand="0" w:firstRowFirstColumn="0" w:firstRowLastColumn="0" w:lastRowFirstColumn="0" w:lastRowLastColumn="0"/>
            </w:pPr>
            <w:r>
              <w:t>$22,200.00</w:t>
            </w:r>
          </w:p>
        </w:tc>
      </w:tr>
      <w:tr w:rsidR="004341A4" w14:paraId="0172AFB5" w14:textId="77777777" w:rsidTr="004341A4">
        <w:tc>
          <w:tcPr>
            <w:cnfStyle w:val="001000000000" w:firstRow="0" w:lastRow="0" w:firstColumn="1" w:lastColumn="0" w:oddVBand="0" w:evenVBand="0" w:oddHBand="0" w:evenHBand="0" w:firstRowFirstColumn="0" w:firstRowLastColumn="0" w:lastRowFirstColumn="0" w:lastRowLastColumn="0"/>
            <w:tcW w:w="0" w:type="dxa"/>
            <w:tcMar>
              <w:top w:w="0" w:type="dxa"/>
              <w:left w:w="0" w:type="dxa"/>
              <w:bottom w:w="100" w:type="dxa"/>
              <w:right w:w="0" w:type="dxa"/>
            </w:tcMar>
            <w:vAlign w:val="center"/>
          </w:tcPr>
          <w:p w14:paraId="6F753CEA" w14:textId="77777777" w:rsidR="004341A4" w:rsidRDefault="006373FE">
            <w:r>
              <w:t>37WL</w:t>
            </w:r>
            <w:r>
              <w:t xml:space="preserve"> </w:t>
            </w:r>
            <w:r>
              <w:br/>
            </w:r>
          </w:p>
        </w:tc>
        <w:tc>
          <w:tcPr>
            <w:tcW w:w="0" w:type="dxa"/>
            <w:tcMar>
              <w:top w:w="0" w:type="dxa"/>
              <w:left w:w="0" w:type="dxa"/>
              <w:bottom w:w="100" w:type="dxa"/>
              <w:right w:w="0" w:type="dxa"/>
            </w:tcMar>
            <w:vAlign w:val="center"/>
          </w:tcPr>
          <w:p w14:paraId="7FAECAD9" w14:textId="77777777" w:rsidR="004341A4" w:rsidRDefault="006373FE">
            <w:pPr>
              <w:cnfStyle w:val="000000000000" w:firstRow="0" w:lastRow="0" w:firstColumn="0" w:lastColumn="0" w:oddVBand="0" w:evenVBand="0" w:oddHBand="0" w:evenHBand="0" w:firstRowFirstColumn="0" w:firstRowLastColumn="0" w:lastRowFirstColumn="0" w:lastRowLastColumn="0"/>
            </w:pPr>
            <w:r>
              <w:t>Above-ground pool 1 @ $3,090.00 per Each @ 90.00 %</w:t>
            </w:r>
            <w:r>
              <w:t xml:space="preserve"> </w:t>
            </w:r>
            <w:r>
              <w:br/>
            </w:r>
          </w:p>
        </w:tc>
        <w:tc>
          <w:tcPr>
            <w:tcW w:w="756" w:type="pct"/>
            <w:vAlign w:val="center"/>
          </w:tcPr>
          <w:p w14:paraId="6FA8F21F" w14:textId="77777777" w:rsidR="00DD20F1" w:rsidRPr="00300916" w:rsidRDefault="00DD20F1" w:rsidP="00300916">
            <w:pPr>
              <w:jc w:val="right"/>
              <w:cnfStyle w:val="000000000000" w:firstRow="0" w:lastRow="0" w:firstColumn="0" w:lastColumn="0" w:oddVBand="0" w:evenVBand="0" w:oddHBand="0" w:evenHBand="0" w:firstRowFirstColumn="0" w:firstRowLastColumn="0" w:lastRowFirstColumn="0" w:lastRowLastColumn="0"/>
              <w:rPr>
                <w:rFonts w:cstheme="minorHAnsi"/>
                <w:sz w:val="14"/>
              </w:rPr>
            </w:pPr>
          </w:p>
          <w:p w14:paraId="3F5D82E0" w14:textId="77777777" w:rsidR="004341A4" w:rsidRDefault="006373FE">
            <w:pPr>
              <w:cnfStyle w:val="000000000000" w:firstRow="0" w:lastRow="0" w:firstColumn="0" w:lastColumn="0" w:oddVBand="0" w:evenVBand="0" w:oddHBand="0" w:evenHBand="0" w:firstRowFirstColumn="0" w:firstRowLastColumn="0" w:lastRowFirstColumn="0" w:lastRowLastColumn="0"/>
            </w:pPr>
            <w:r>
              <w:t>$300.00</w:t>
            </w:r>
          </w:p>
        </w:tc>
      </w:tr>
      <w:tr w:rsidR="004341A4" w14:paraId="7C8E558F" w14:textId="77777777" w:rsidTr="004341A4">
        <w:trPr>
          <w:trHeight w:val="64"/>
        </w:trPr>
        <w:tc>
          <w:tcPr>
            <w:cnfStyle w:val="001000000000" w:firstRow="0" w:lastRow="0" w:firstColumn="1" w:lastColumn="0" w:oddVBand="0" w:evenVBand="0" w:oddHBand="0" w:evenHBand="0" w:firstRowFirstColumn="0" w:firstRowLastColumn="0" w:lastRowFirstColumn="0" w:lastRowLastColumn="0"/>
            <w:tcW w:w="4244" w:type="pct"/>
            <w:gridSpan w:val="2"/>
            <w:shd w:val="clear" w:color="auto" w:fill="D9D9D9" w:themeFill="background1" w:themeFillShade="D9"/>
            <w:vAlign w:val="center"/>
          </w:tcPr>
          <w:p w14:paraId="27CB6E8C" w14:textId="77777777" w:rsidR="006138B0" w:rsidRPr="00300916" w:rsidRDefault="006373FE" w:rsidP="00300916">
            <w:pPr>
              <w:rPr>
                <w:rFonts w:cstheme="minorHAnsi"/>
                <w:sz w:val="16"/>
              </w:rPr>
            </w:pPr>
            <w:r w:rsidRPr="00300916">
              <w:rPr>
                <w:rFonts w:cstheme="minorHAnsi"/>
                <w:b w:val="0"/>
                <w:sz w:val="16"/>
              </w:rPr>
              <w:t>Damages</w:t>
            </w:r>
          </w:p>
        </w:tc>
        <w:tc>
          <w:tcPr>
            <w:tcW w:w="756" w:type="pct"/>
            <w:shd w:val="clear" w:color="auto" w:fill="D9D9D9" w:themeFill="background1" w:themeFillShade="D9"/>
            <w:vAlign w:val="center"/>
          </w:tcPr>
          <w:p w14:paraId="425CC8C0" w14:textId="77777777" w:rsidR="006138B0" w:rsidRPr="00D903C0" w:rsidRDefault="006138B0" w:rsidP="00300916">
            <w:pPr>
              <w:cnfStyle w:val="000000000000" w:firstRow="0" w:lastRow="0" w:firstColumn="0" w:lastColumn="0" w:oddVBand="0" w:evenVBand="0" w:oddHBand="0" w:evenHBand="0" w:firstRowFirstColumn="0" w:firstRowLastColumn="0" w:lastRowFirstColumn="0" w:lastRowLastColumn="0"/>
              <w:rPr>
                <w:rFonts w:cstheme="minorHAnsi"/>
                <w:b/>
                <w:sz w:val="18"/>
              </w:rPr>
            </w:pPr>
            <w:bookmarkStart w:id="9" w:name="DAMAGEHEADER"/>
            <w:bookmarkEnd w:id="9"/>
          </w:p>
        </w:tc>
      </w:tr>
      <w:tr w:rsidR="004341A4" w14:paraId="64C0F3D7" w14:textId="77777777" w:rsidTr="004341A4">
        <w:trPr>
          <w:trHeight w:val="230"/>
        </w:trPr>
        <w:tc>
          <w:tcPr>
            <w:cnfStyle w:val="001000000000" w:firstRow="0" w:lastRow="0" w:firstColumn="1" w:lastColumn="0" w:oddVBand="0" w:evenVBand="0" w:oddHBand="0" w:evenHBand="0" w:firstRowFirstColumn="0" w:firstRowLastColumn="0" w:lastRowFirstColumn="0" w:lastRowLastColumn="0"/>
            <w:tcW w:w="701" w:type="pct"/>
            <w:vAlign w:val="center"/>
          </w:tcPr>
          <w:p w14:paraId="7B75555E" w14:textId="77777777" w:rsidR="00DD20F1" w:rsidRPr="00300916" w:rsidRDefault="00DD20F1" w:rsidP="00300916">
            <w:pPr>
              <w:rPr>
                <w:rFonts w:cstheme="minorHAnsi"/>
                <w:sz w:val="14"/>
              </w:rPr>
            </w:pPr>
            <w:bookmarkStart w:id="10" w:name="DAMAGEROWSTART"/>
            <w:bookmarkEnd w:id="10"/>
          </w:p>
        </w:tc>
        <w:tc>
          <w:tcPr>
            <w:tcW w:w="3543" w:type="pct"/>
            <w:vAlign w:val="center"/>
          </w:tcPr>
          <w:p w14:paraId="5F58F241" w14:textId="77777777" w:rsidR="00DD20F1" w:rsidRPr="00300916" w:rsidRDefault="00DD20F1" w:rsidP="00300916">
            <w:pPr>
              <w:cnfStyle w:val="000000000000" w:firstRow="0" w:lastRow="0" w:firstColumn="0" w:lastColumn="0" w:oddVBand="0" w:evenVBand="0" w:oddHBand="0" w:evenHBand="0" w:firstRowFirstColumn="0" w:firstRowLastColumn="0" w:lastRowFirstColumn="0" w:lastRowLastColumn="0"/>
              <w:rPr>
                <w:rFonts w:cstheme="minorHAnsi"/>
                <w:sz w:val="14"/>
              </w:rPr>
            </w:pPr>
          </w:p>
        </w:tc>
        <w:tc>
          <w:tcPr>
            <w:tcW w:w="756" w:type="pct"/>
            <w:vAlign w:val="center"/>
          </w:tcPr>
          <w:p w14:paraId="7252923C" w14:textId="77777777" w:rsidR="00DD20F1" w:rsidRPr="00300916" w:rsidRDefault="00DD20F1" w:rsidP="00300916">
            <w:pPr>
              <w:jc w:val="right"/>
              <w:cnfStyle w:val="000000000000" w:firstRow="0" w:lastRow="0" w:firstColumn="0" w:lastColumn="0" w:oddVBand="0" w:evenVBand="0" w:oddHBand="0" w:evenHBand="0" w:firstRowFirstColumn="0" w:firstRowLastColumn="0" w:lastRowFirstColumn="0" w:lastRowLastColumn="0"/>
              <w:rPr>
                <w:rFonts w:cstheme="minorHAnsi"/>
                <w:sz w:val="14"/>
              </w:rPr>
            </w:pPr>
          </w:p>
        </w:tc>
      </w:tr>
      <w:tr w:rsidR="004341A4" w14:paraId="198EF0D7" w14:textId="77777777" w:rsidTr="004341A4">
        <w:trPr>
          <w:trHeight w:val="64"/>
        </w:trPr>
        <w:tc>
          <w:tcPr>
            <w:cnfStyle w:val="001000000000" w:firstRow="0" w:lastRow="0" w:firstColumn="1" w:lastColumn="0" w:oddVBand="0" w:evenVBand="0" w:oddHBand="0" w:evenHBand="0" w:firstRowFirstColumn="0" w:firstRowLastColumn="0" w:lastRowFirstColumn="0" w:lastRowLastColumn="0"/>
            <w:tcW w:w="4244" w:type="pct"/>
            <w:gridSpan w:val="2"/>
            <w:shd w:val="clear" w:color="auto" w:fill="D9D9D9" w:themeFill="background1" w:themeFillShade="D9"/>
            <w:vAlign w:val="center"/>
          </w:tcPr>
          <w:p w14:paraId="59577C9C" w14:textId="77777777" w:rsidR="006138B0" w:rsidRPr="00300916" w:rsidRDefault="006373FE" w:rsidP="00300916">
            <w:pPr>
              <w:rPr>
                <w:rFonts w:cstheme="minorHAnsi"/>
                <w:sz w:val="16"/>
              </w:rPr>
            </w:pPr>
            <w:r w:rsidRPr="00300916">
              <w:rPr>
                <w:rFonts w:cstheme="minorHAnsi"/>
                <w:b w:val="0"/>
                <w:sz w:val="16"/>
              </w:rPr>
              <w:t>Cost to cure</w:t>
            </w:r>
          </w:p>
        </w:tc>
        <w:tc>
          <w:tcPr>
            <w:tcW w:w="756" w:type="pct"/>
            <w:shd w:val="clear" w:color="auto" w:fill="D9D9D9" w:themeFill="background1" w:themeFillShade="D9"/>
            <w:vAlign w:val="center"/>
          </w:tcPr>
          <w:p w14:paraId="0C545008" w14:textId="77777777" w:rsidR="006138B0" w:rsidRPr="00D903C0" w:rsidRDefault="006138B0" w:rsidP="00300916">
            <w:pPr>
              <w:cnfStyle w:val="000000000000" w:firstRow="0" w:lastRow="0" w:firstColumn="0" w:lastColumn="0" w:oddVBand="0" w:evenVBand="0" w:oddHBand="0" w:evenHBand="0" w:firstRowFirstColumn="0" w:firstRowLastColumn="0" w:lastRowFirstColumn="0" w:lastRowLastColumn="0"/>
              <w:rPr>
                <w:rFonts w:cstheme="minorHAnsi"/>
                <w:b/>
                <w:sz w:val="18"/>
              </w:rPr>
            </w:pPr>
            <w:bookmarkStart w:id="11" w:name="COSTTOCUREHEADER"/>
            <w:bookmarkEnd w:id="11"/>
          </w:p>
        </w:tc>
      </w:tr>
      <w:tr w:rsidR="004341A4" w14:paraId="45EEA166" w14:textId="77777777" w:rsidTr="004341A4">
        <w:trPr>
          <w:trHeight w:val="230"/>
        </w:trPr>
        <w:tc>
          <w:tcPr>
            <w:cnfStyle w:val="001000000000" w:firstRow="0" w:lastRow="0" w:firstColumn="1" w:lastColumn="0" w:oddVBand="0" w:evenVBand="0" w:oddHBand="0" w:evenHBand="0" w:firstRowFirstColumn="0" w:firstRowLastColumn="0" w:lastRowFirstColumn="0" w:lastRowLastColumn="0"/>
            <w:tcW w:w="701" w:type="pct"/>
            <w:vAlign w:val="center"/>
          </w:tcPr>
          <w:p w14:paraId="1BBA28D9" w14:textId="77777777" w:rsidR="00DD20F1" w:rsidRPr="00300916" w:rsidRDefault="00DD20F1" w:rsidP="00300916">
            <w:pPr>
              <w:rPr>
                <w:rFonts w:cstheme="minorHAnsi"/>
                <w:sz w:val="14"/>
              </w:rPr>
            </w:pPr>
            <w:bookmarkStart w:id="12" w:name="COSTTOCUREROWSTART"/>
            <w:bookmarkEnd w:id="12"/>
          </w:p>
        </w:tc>
        <w:tc>
          <w:tcPr>
            <w:tcW w:w="3543" w:type="pct"/>
            <w:vAlign w:val="center"/>
          </w:tcPr>
          <w:p w14:paraId="4FBDBDE9" w14:textId="77777777" w:rsidR="00DD20F1" w:rsidRPr="00300916" w:rsidRDefault="00DD20F1" w:rsidP="00300916">
            <w:pPr>
              <w:cnfStyle w:val="000000000000" w:firstRow="0" w:lastRow="0" w:firstColumn="0" w:lastColumn="0" w:oddVBand="0" w:evenVBand="0" w:oddHBand="0" w:evenHBand="0" w:firstRowFirstColumn="0" w:firstRowLastColumn="0" w:lastRowFirstColumn="0" w:lastRowLastColumn="0"/>
              <w:rPr>
                <w:rFonts w:cstheme="minorHAnsi"/>
                <w:sz w:val="14"/>
              </w:rPr>
            </w:pPr>
          </w:p>
        </w:tc>
        <w:tc>
          <w:tcPr>
            <w:tcW w:w="756" w:type="pct"/>
            <w:vAlign w:val="center"/>
          </w:tcPr>
          <w:p w14:paraId="3D2B6C83" w14:textId="77777777" w:rsidR="00DD20F1" w:rsidRPr="00300916" w:rsidRDefault="00DD20F1" w:rsidP="00300916">
            <w:pPr>
              <w:jc w:val="right"/>
              <w:cnfStyle w:val="000000000000" w:firstRow="0" w:lastRow="0" w:firstColumn="0" w:lastColumn="0" w:oddVBand="0" w:evenVBand="0" w:oddHBand="0" w:evenHBand="0" w:firstRowFirstColumn="0" w:firstRowLastColumn="0" w:lastRowFirstColumn="0" w:lastRowLastColumn="0"/>
              <w:rPr>
                <w:rFonts w:cstheme="minorHAnsi"/>
                <w:sz w:val="14"/>
              </w:rPr>
            </w:pPr>
          </w:p>
        </w:tc>
      </w:tr>
      <w:tr w:rsidR="004341A4" w14:paraId="412AA536" w14:textId="77777777" w:rsidTr="004341A4">
        <w:trPr>
          <w:trHeight w:val="64"/>
        </w:trPr>
        <w:tc>
          <w:tcPr>
            <w:cnfStyle w:val="001000000000" w:firstRow="0" w:lastRow="0" w:firstColumn="1" w:lastColumn="0" w:oddVBand="0" w:evenVBand="0" w:oddHBand="0" w:evenHBand="0" w:firstRowFirstColumn="0" w:firstRowLastColumn="0" w:lastRowFirstColumn="0" w:lastRowLastColumn="0"/>
            <w:tcW w:w="4244" w:type="pct"/>
            <w:gridSpan w:val="2"/>
            <w:shd w:val="clear" w:color="auto" w:fill="D9D9D9" w:themeFill="background1" w:themeFillShade="D9"/>
            <w:vAlign w:val="center"/>
          </w:tcPr>
          <w:p w14:paraId="6EB2AEA7" w14:textId="77777777" w:rsidR="005948DE" w:rsidRPr="00300916" w:rsidRDefault="006373FE" w:rsidP="00300916">
            <w:pPr>
              <w:rPr>
                <w:rFonts w:cstheme="minorHAnsi"/>
                <w:sz w:val="16"/>
              </w:rPr>
            </w:pPr>
            <w:r w:rsidRPr="00300916">
              <w:rPr>
                <w:rFonts w:cstheme="minorHAnsi"/>
                <w:b w:val="0"/>
                <w:sz w:val="16"/>
              </w:rPr>
              <w:t>Excess land</w:t>
            </w:r>
          </w:p>
        </w:tc>
        <w:tc>
          <w:tcPr>
            <w:tcW w:w="756" w:type="pct"/>
            <w:shd w:val="clear" w:color="auto" w:fill="D9D9D9" w:themeFill="background1" w:themeFillShade="D9"/>
            <w:vAlign w:val="center"/>
          </w:tcPr>
          <w:p w14:paraId="57E32C63" w14:textId="77777777" w:rsidR="005948DE" w:rsidRPr="00300916" w:rsidRDefault="005948DE" w:rsidP="00300916">
            <w:pPr>
              <w:cnfStyle w:val="000000000000" w:firstRow="0" w:lastRow="0" w:firstColumn="0" w:lastColumn="0" w:oddVBand="0" w:evenVBand="0" w:oddHBand="0" w:evenHBand="0" w:firstRowFirstColumn="0" w:firstRowLastColumn="0" w:lastRowFirstColumn="0" w:lastRowLastColumn="0"/>
              <w:rPr>
                <w:rFonts w:cstheme="minorHAnsi"/>
                <w:b/>
                <w:sz w:val="16"/>
              </w:rPr>
            </w:pPr>
            <w:bookmarkStart w:id="13" w:name="EXCESSLANDHEADER"/>
            <w:bookmarkEnd w:id="13"/>
          </w:p>
        </w:tc>
      </w:tr>
      <w:tr w:rsidR="004341A4" w14:paraId="68C06B67" w14:textId="77777777" w:rsidTr="004341A4">
        <w:trPr>
          <w:trHeight w:val="230"/>
        </w:trPr>
        <w:tc>
          <w:tcPr>
            <w:cnfStyle w:val="001000000000" w:firstRow="0" w:lastRow="0" w:firstColumn="1" w:lastColumn="0" w:oddVBand="0" w:evenVBand="0" w:oddHBand="0" w:evenHBand="0" w:firstRowFirstColumn="0" w:firstRowLastColumn="0" w:lastRowFirstColumn="0" w:lastRowLastColumn="0"/>
            <w:tcW w:w="701" w:type="pct"/>
            <w:vAlign w:val="center"/>
          </w:tcPr>
          <w:p w14:paraId="1C10DAE4" w14:textId="77777777" w:rsidR="00DD20F1" w:rsidRPr="00300916" w:rsidRDefault="00DD20F1" w:rsidP="00300916">
            <w:pPr>
              <w:rPr>
                <w:rFonts w:cstheme="minorHAnsi"/>
                <w:sz w:val="14"/>
                <w:szCs w:val="16"/>
              </w:rPr>
            </w:pPr>
            <w:bookmarkStart w:id="14" w:name="EXCESSLANDROWSTART"/>
            <w:bookmarkEnd w:id="14"/>
          </w:p>
        </w:tc>
        <w:tc>
          <w:tcPr>
            <w:tcW w:w="3543" w:type="pct"/>
            <w:vAlign w:val="center"/>
          </w:tcPr>
          <w:p w14:paraId="4DAA213D" w14:textId="77777777" w:rsidR="00DD20F1" w:rsidRPr="00300916" w:rsidRDefault="00DD20F1" w:rsidP="00300916">
            <w:pPr>
              <w:cnfStyle w:val="000000000000" w:firstRow="0" w:lastRow="0" w:firstColumn="0" w:lastColumn="0" w:oddVBand="0" w:evenVBand="0" w:oddHBand="0" w:evenHBand="0" w:firstRowFirstColumn="0" w:firstRowLastColumn="0" w:lastRowFirstColumn="0" w:lastRowLastColumn="0"/>
              <w:rPr>
                <w:rFonts w:cstheme="minorHAnsi"/>
                <w:bCs/>
                <w:sz w:val="14"/>
                <w:szCs w:val="16"/>
              </w:rPr>
            </w:pPr>
          </w:p>
        </w:tc>
        <w:tc>
          <w:tcPr>
            <w:tcW w:w="756" w:type="pct"/>
            <w:vAlign w:val="center"/>
          </w:tcPr>
          <w:p w14:paraId="12C9F4C9" w14:textId="77777777" w:rsidR="00DD20F1" w:rsidRPr="00300916" w:rsidRDefault="00DD20F1" w:rsidP="00300916">
            <w:pPr>
              <w:jc w:val="right"/>
              <w:cnfStyle w:val="000000000000" w:firstRow="0" w:lastRow="0" w:firstColumn="0" w:lastColumn="0" w:oddVBand="0" w:evenVBand="0" w:oddHBand="0" w:evenHBand="0" w:firstRowFirstColumn="0" w:firstRowLastColumn="0" w:lastRowFirstColumn="0" w:lastRowLastColumn="0"/>
              <w:rPr>
                <w:rFonts w:cstheme="minorHAnsi"/>
                <w:sz w:val="14"/>
                <w:szCs w:val="16"/>
              </w:rPr>
            </w:pPr>
          </w:p>
        </w:tc>
      </w:tr>
      <w:tr w:rsidR="004341A4" w14:paraId="75116611" w14:textId="77777777" w:rsidTr="004341A4">
        <w:trPr>
          <w:trHeight w:val="64"/>
        </w:trPr>
        <w:tc>
          <w:tcPr>
            <w:cnfStyle w:val="001000000000" w:firstRow="0" w:lastRow="0" w:firstColumn="1" w:lastColumn="0" w:oddVBand="0" w:evenVBand="0" w:oddHBand="0" w:evenHBand="0" w:firstRowFirstColumn="0" w:firstRowLastColumn="0" w:lastRowFirstColumn="0" w:lastRowLastColumn="0"/>
            <w:tcW w:w="4244" w:type="pct"/>
            <w:gridSpan w:val="2"/>
            <w:shd w:val="clear" w:color="auto" w:fill="D9D9D9" w:themeFill="background1" w:themeFillShade="D9"/>
            <w:vAlign w:val="center"/>
          </w:tcPr>
          <w:p w14:paraId="38E54AF3" w14:textId="77777777" w:rsidR="00D93F93" w:rsidRPr="00300916" w:rsidRDefault="006373FE" w:rsidP="00D93F93">
            <w:pPr>
              <w:rPr>
                <w:rFonts w:cstheme="minorHAnsi"/>
                <w:sz w:val="16"/>
              </w:rPr>
            </w:pPr>
            <w:r>
              <w:rPr>
                <w:rFonts w:cstheme="minorHAnsi"/>
                <w:b w:val="0"/>
                <w:sz w:val="16"/>
              </w:rPr>
              <w:t>Totals</w:t>
            </w:r>
          </w:p>
        </w:tc>
        <w:tc>
          <w:tcPr>
            <w:tcW w:w="756" w:type="pct"/>
            <w:shd w:val="clear" w:color="auto" w:fill="D9D9D9" w:themeFill="background1" w:themeFillShade="D9"/>
            <w:vAlign w:val="center"/>
          </w:tcPr>
          <w:p w14:paraId="4F7921C5" w14:textId="77777777" w:rsidR="00D93F93" w:rsidRPr="00300916" w:rsidRDefault="00D93F93" w:rsidP="00D93F93">
            <w:pPr>
              <w:cnfStyle w:val="000000000000" w:firstRow="0" w:lastRow="0" w:firstColumn="0" w:lastColumn="0" w:oddVBand="0" w:evenVBand="0" w:oddHBand="0" w:evenHBand="0" w:firstRowFirstColumn="0" w:firstRowLastColumn="0" w:lastRowFirstColumn="0" w:lastRowLastColumn="0"/>
              <w:rPr>
                <w:rFonts w:cstheme="minorHAnsi"/>
                <w:b/>
                <w:sz w:val="16"/>
              </w:rPr>
            </w:pPr>
            <w:bookmarkStart w:id="15" w:name="TOTALSHEADER"/>
            <w:bookmarkEnd w:id="15"/>
          </w:p>
        </w:tc>
      </w:tr>
      <w:tr w:rsidR="004341A4" w14:paraId="33CEE86C" w14:textId="77777777" w:rsidTr="004341A4">
        <w:tc>
          <w:tcPr>
            <w:cnfStyle w:val="001000000000" w:firstRow="0" w:lastRow="0" w:firstColumn="1" w:lastColumn="0" w:oddVBand="0" w:evenVBand="0" w:oddHBand="0" w:evenHBand="0" w:firstRowFirstColumn="0" w:firstRowLastColumn="0" w:lastRowFirstColumn="0" w:lastRowLastColumn="0"/>
            <w:tcW w:w="0" w:type="dxa"/>
            <w:tcMar>
              <w:top w:w="0" w:type="dxa"/>
              <w:left w:w="0" w:type="dxa"/>
              <w:bottom w:w="100" w:type="dxa"/>
              <w:right w:w="0" w:type="dxa"/>
            </w:tcMar>
            <w:vAlign w:val="center"/>
          </w:tcPr>
          <w:p w14:paraId="3785A2C5" w14:textId="77777777" w:rsidR="004341A4" w:rsidRDefault="004341A4"/>
        </w:tc>
        <w:tc>
          <w:tcPr>
            <w:tcW w:w="0" w:type="dxa"/>
            <w:tcMar>
              <w:top w:w="0" w:type="dxa"/>
              <w:left w:w="0" w:type="dxa"/>
              <w:bottom w:w="100" w:type="dxa"/>
              <w:right w:w="0" w:type="dxa"/>
            </w:tcMar>
            <w:vAlign w:val="center"/>
          </w:tcPr>
          <w:p w14:paraId="1CC23E81" w14:textId="77777777" w:rsidR="004341A4" w:rsidRDefault="006373FE">
            <w:pPr>
              <w:cnfStyle w:val="000000000000" w:firstRow="0" w:lastRow="0" w:firstColumn="0" w:lastColumn="0" w:oddVBand="0" w:evenVBand="0" w:oddHBand="0" w:evenHBand="0" w:firstRowFirstColumn="0" w:firstRowLastColumn="0" w:lastRowFirstColumn="0" w:lastRowLastColumn="0"/>
            </w:pPr>
            <w:r>
              <w:t xml:space="preserve">TOTAL FAIR MARKET </w:t>
            </w:r>
            <w:r>
              <w:t>VALUE FOR REQUIRED R/W</w:t>
            </w:r>
            <w:r>
              <w:t xml:space="preserve"> </w:t>
            </w:r>
            <w:r>
              <w:br/>
            </w:r>
          </w:p>
        </w:tc>
        <w:tc>
          <w:tcPr>
            <w:tcW w:w="756" w:type="pct"/>
            <w:vAlign w:val="center"/>
          </w:tcPr>
          <w:p w14:paraId="62E493A8" w14:textId="77777777" w:rsidR="005948DE" w:rsidRPr="00300916" w:rsidRDefault="005948DE" w:rsidP="005948DE">
            <w:pPr>
              <w:jc w:val="right"/>
              <w:cnfStyle w:val="000000000000" w:firstRow="0" w:lastRow="0" w:firstColumn="0" w:lastColumn="0" w:oddVBand="0" w:evenVBand="0" w:oddHBand="0" w:evenHBand="0" w:firstRowFirstColumn="0" w:firstRowLastColumn="0" w:lastRowFirstColumn="0" w:lastRowLastColumn="0"/>
              <w:rPr>
                <w:rFonts w:cstheme="minorHAnsi"/>
                <w:sz w:val="14"/>
                <w:szCs w:val="16"/>
              </w:rPr>
            </w:pPr>
          </w:p>
          <w:p w14:paraId="76018818" w14:textId="77777777" w:rsidR="004341A4" w:rsidRDefault="006373FE">
            <w:pPr>
              <w:cnfStyle w:val="000000000000" w:firstRow="0" w:lastRow="0" w:firstColumn="0" w:lastColumn="0" w:oddVBand="0" w:evenVBand="0" w:oddHBand="0" w:evenHBand="0" w:firstRowFirstColumn="0" w:firstRowLastColumn="0" w:lastRowFirstColumn="0" w:lastRowLastColumn="0"/>
            </w:pPr>
            <w:r>
              <w:t>$150,000.00</w:t>
            </w:r>
          </w:p>
        </w:tc>
      </w:tr>
    </w:tbl>
    <w:p w14:paraId="23B739B3" w14:textId="77777777" w:rsidR="0038320F" w:rsidRDefault="0038320F" w:rsidP="00D903C0">
      <w:pPr>
        <w:spacing w:line="240" w:lineRule="auto"/>
        <w:rPr>
          <w:rFonts w:cstheme="minorHAnsi"/>
        </w:rPr>
      </w:pPr>
    </w:p>
    <w:tbl>
      <w:tblPr>
        <w:tblStyle w:val="TableGrid"/>
        <w:tblW w:w="0" w:type="auto"/>
        <w:tblLook w:val="04A0" w:firstRow="1" w:lastRow="0" w:firstColumn="1" w:lastColumn="0" w:noHBand="0" w:noVBand="1"/>
      </w:tblPr>
      <w:tblGrid>
        <w:gridCol w:w="4765"/>
        <w:gridCol w:w="6925"/>
      </w:tblGrid>
      <w:tr w:rsidR="004341A4" w14:paraId="2DFA2DE8" w14:textId="77777777" w:rsidTr="00B803F9">
        <w:trPr>
          <w:gridAfter w:val="1"/>
          <w:wAfter w:w="6925" w:type="dxa"/>
        </w:trPr>
        <w:tc>
          <w:tcPr>
            <w:tcW w:w="4765" w:type="dxa"/>
            <w:shd w:val="clear" w:color="auto" w:fill="1F3864" w:themeFill="accent1" w:themeFillShade="80"/>
          </w:tcPr>
          <w:p w14:paraId="472D3FEC" w14:textId="77777777" w:rsidR="00B803F9" w:rsidRPr="00B803F9" w:rsidRDefault="006373FE" w:rsidP="00B803F9">
            <w:pPr>
              <w:jc w:val="center"/>
              <w:rPr>
                <w:rFonts w:cstheme="minorHAnsi"/>
                <w:color w:val="FFFFFF" w:themeColor="background1"/>
                <w:sz w:val="18"/>
                <w:szCs w:val="18"/>
              </w:rPr>
            </w:pPr>
            <w:r w:rsidRPr="00B803F9">
              <w:rPr>
                <w:rFonts w:cstheme="minorHAnsi"/>
                <w:color w:val="FFFFFF" w:themeColor="background1"/>
                <w:sz w:val="18"/>
                <w:szCs w:val="18"/>
              </w:rPr>
              <w:t>Reviewer’s Reasoning for the Recommendation</w:t>
            </w:r>
          </w:p>
        </w:tc>
      </w:tr>
      <w:tr w:rsidR="004341A4" w14:paraId="3A335B8A" w14:textId="77777777" w:rsidTr="00B803F9">
        <w:tc>
          <w:tcPr>
            <w:tcW w:w="11690" w:type="dxa"/>
            <w:gridSpan w:val="2"/>
          </w:tcPr>
          <w:p w14:paraId="71BFE9B5" w14:textId="77777777" w:rsidR="00B803F9" w:rsidRDefault="006373FE" w:rsidP="00D903C0">
            <w:pPr>
              <w:rPr>
                <w:rFonts w:cstheme="minorHAnsi"/>
              </w:rPr>
            </w:pPr>
            <w:bookmarkStart w:id="16" w:name="REVIEWERREASONING"/>
            <w:r>
              <w:rPr>
                <w:rFonts w:cstheme="minorHAnsi"/>
              </w:rPr>
              <w:t>The subject property has a physical address of 6920 Pickerington Road NW, Carroll, Ohio 43112.  The subject’s record area is 0.630 gross acres, of which 0.114 acres are located within present right-of-way (PRO), indicating a net acreage of 0.516 acres, per the Right-of-way Plans.  Note, the Right-of-way Plans and the legal description of the take both indicate the subject has a calculated site size of 0.502 gross acres.  The appraiser used the record area of 0.630 gross acres listed on the plans in his anal</w:t>
            </w:r>
            <w:r>
              <w:rPr>
                <w:rFonts w:cstheme="minorHAnsi"/>
              </w:rPr>
              <w:t xml:space="preserve">ysis.  The subject property is improved with a +/-1,080 square foot single-family residential dwelling and associated site improvements.  "As vacant", the highest and best use was estimated by the appraiser to be for residential development.  "As improved", the highest and best use was estimated by the appraiser to be its existing use and improvements.  </w:t>
            </w:r>
          </w:p>
          <w:p w14:paraId="6A75A915" w14:textId="77777777" w:rsidR="00B803F9" w:rsidRDefault="00B803F9" w:rsidP="00D903C0">
            <w:pPr>
              <w:rPr>
                <w:rFonts w:cstheme="minorHAnsi"/>
              </w:rPr>
            </w:pPr>
          </w:p>
          <w:p w14:paraId="3EE46CDC" w14:textId="77777777" w:rsidR="00B803F9" w:rsidRDefault="006373FE" w:rsidP="00D903C0">
            <w:pPr>
              <w:rPr>
                <w:rFonts w:cstheme="minorHAnsi"/>
              </w:rPr>
            </w:pPr>
            <w:r>
              <w:rPr>
                <w:rFonts w:cstheme="minorHAnsi"/>
              </w:rPr>
              <w:t xml:space="preserve">The estimated unit value of the underlying land was $50,000 per lot, which was supported by four land sales in the sales comparison approach.  The estimated value of the subject site "as vacant" in the Before situation was $50,000.   </w:t>
            </w:r>
          </w:p>
          <w:p w14:paraId="5C3112C8" w14:textId="77777777" w:rsidR="00B803F9" w:rsidRDefault="00B803F9" w:rsidP="00D903C0">
            <w:pPr>
              <w:rPr>
                <w:rFonts w:cstheme="minorHAnsi"/>
              </w:rPr>
            </w:pPr>
          </w:p>
          <w:p w14:paraId="61AA5AD8" w14:textId="77777777" w:rsidR="00B803F9" w:rsidRDefault="006373FE" w:rsidP="00D903C0">
            <w:pPr>
              <w:rPr>
                <w:rFonts w:cstheme="minorHAnsi"/>
              </w:rPr>
            </w:pPr>
            <w:r>
              <w:rPr>
                <w:rFonts w:cstheme="minorHAnsi"/>
              </w:rPr>
              <w:lastRenderedPageBreak/>
              <w:t>The cost approach to value was not presented in the appraisal due to the older age of the subject's structures.  Per the appraiser, "The inherent difficulty and subjectivity in estimating the accrued depreciation from all sources renders any value indicated by the cost approach unreliable.  Further, market participants are not basing their purchase decisions upon the replacement cost new less depreciation for these type properties, they are primarily basing their decisions upon the recent prices paid for si</w:t>
            </w:r>
            <w:r>
              <w:rPr>
                <w:rFonts w:cstheme="minorHAnsi"/>
              </w:rPr>
              <w:t>milar properties."  The cost approach was utilized by the appraiser to estimate the allocated values of the subject's structures.</w:t>
            </w:r>
          </w:p>
          <w:p w14:paraId="5F6C08A7" w14:textId="77777777" w:rsidR="00B803F9" w:rsidRDefault="00B803F9" w:rsidP="00D903C0">
            <w:pPr>
              <w:rPr>
                <w:rFonts w:cstheme="minorHAnsi"/>
              </w:rPr>
            </w:pPr>
          </w:p>
          <w:p w14:paraId="4E94D5FE" w14:textId="77777777" w:rsidR="00B803F9" w:rsidRDefault="006373FE" w:rsidP="00D903C0">
            <w:pPr>
              <w:rPr>
                <w:rFonts w:cstheme="minorHAnsi"/>
              </w:rPr>
            </w:pPr>
            <w:r>
              <w:rPr>
                <w:rFonts w:cstheme="minorHAnsi"/>
              </w:rPr>
              <w:t xml:space="preserve">Within the sales comparison approach "as improved" section of the appraisal report, five improved sales were presented.  A value of $150,000 was estimated for the subject "as improved".  The sales comparison approach was given primary weight to estimate the value of the subject property "as improved".  </w:t>
            </w:r>
          </w:p>
          <w:p w14:paraId="3EE25D9F" w14:textId="77777777" w:rsidR="00B803F9" w:rsidRDefault="00B803F9" w:rsidP="00D903C0">
            <w:pPr>
              <w:rPr>
                <w:rFonts w:cstheme="minorHAnsi"/>
              </w:rPr>
            </w:pPr>
          </w:p>
          <w:p w14:paraId="0D2E6944" w14:textId="77777777" w:rsidR="00B803F9" w:rsidRDefault="006373FE" w:rsidP="00D903C0">
            <w:pPr>
              <w:rPr>
                <w:rFonts w:cstheme="minorHAnsi"/>
              </w:rPr>
            </w:pPr>
            <w:r>
              <w:rPr>
                <w:rFonts w:cstheme="minorHAnsi"/>
              </w:rPr>
              <w:t>The income approach was not presented in the appraisal due to the subject being an owner-occupied single-family residential property.  Per the appraiser,  "The subject property is an owner-occupied single-family residence.  As mentioned, the best indication of market value is the sales comparison approach to value and best reflects the actions of buyers and sellers of this type of property in the market.  The income approach to value is therefore not applicable to this analysis."</w:t>
            </w:r>
          </w:p>
          <w:p w14:paraId="48891AA3" w14:textId="77777777" w:rsidR="00B803F9" w:rsidRDefault="00B803F9" w:rsidP="00D903C0">
            <w:pPr>
              <w:rPr>
                <w:rFonts w:cstheme="minorHAnsi"/>
              </w:rPr>
            </w:pPr>
          </w:p>
          <w:p w14:paraId="4ECFBD40" w14:textId="77777777" w:rsidR="00B803F9" w:rsidRDefault="006373FE" w:rsidP="00D903C0">
            <w:pPr>
              <w:rPr>
                <w:rFonts w:cstheme="minorHAnsi"/>
              </w:rPr>
            </w:pPr>
            <w:r>
              <w:rPr>
                <w:rFonts w:cstheme="minorHAnsi"/>
              </w:rPr>
              <w:t xml:space="preserve">The estimated value of the subject property "as improved" in the Before situation was $150,000.      </w:t>
            </w:r>
          </w:p>
          <w:p w14:paraId="129C1885" w14:textId="77777777" w:rsidR="00B803F9" w:rsidRDefault="00B803F9" w:rsidP="00D903C0">
            <w:pPr>
              <w:rPr>
                <w:rFonts w:cstheme="minorHAnsi"/>
              </w:rPr>
            </w:pPr>
          </w:p>
          <w:p w14:paraId="096558BF" w14:textId="77777777" w:rsidR="00B803F9" w:rsidRDefault="006373FE" w:rsidP="00D903C0">
            <w:pPr>
              <w:rPr>
                <w:rFonts w:cstheme="minorHAnsi"/>
              </w:rPr>
            </w:pPr>
            <w:r>
              <w:rPr>
                <w:rFonts w:cstheme="minorHAnsi"/>
              </w:rPr>
              <w:t xml:space="preserve">The subject property will be acquired in total.  As this is a total take acquisition, there is no residue.  </w:t>
            </w:r>
          </w:p>
          <w:p w14:paraId="100A543B" w14:textId="77777777" w:rsidR="00B803F9" w:rsidRDefault="00B803F9" w:rsidP="00D903C0">
            <w:pPr>
              <w:rPr>
                <w:rFonts w:cstheme="minorHAnsi"/>
              </w:rPr>
            </w:pPr>
          </w:p>
          <w:p w14:paraId="774E21CA" w14:textId="77777777" w:rsidR="00B803F9" w:rsidRDefault="006373FE" w:rsidP="00D903C0">
            <w:pPr>
              <w:rPr>
                <w:rFonts w:cstheme="minorHAnsi"/>
              </w:rPr>
            </w:pPr>
            <w:r>
              <w:rPr>
                <w:rFonts w:cstheme="minorHAnsi"/>
              </w:rPr>
              <w:t>The estimated FMVE was $150,000.</w:t>
            </w:r>
          </w:p>
          <w:p w14:paraId="0B7331BB" w14:textId="77777777" w:rsidR="00B803F9" w:rsidRDefault="00B803F9" w:rsidP="00D903C0">
            <w:pPr>
              <w:rPr>
                <w:rFonts w:cstheme="minorHAnsi"/>
              </w:rPr>
            </w:pPr>
          </w:p>
          <w:p w14:paraId="5D478369" w14:textId="77777777" w:rsidR="00B803F9" w:rsidRDefault="006373FE" w:rsidP="00D903C0">
            <w:pPr>
              <w:rPr>
                <w:rFonts w:cstheme="minorHAnsi"/>
              </w:rPr>
            </w:pPr>
            <w:r>
              <w:rPr>
                <w:rFonts w:cstheme="minorHAnsi"/>
              </w:rPr>
              <w:t xml:space="preserve">The appraisal appears to comply with USPAP.  The appraisal appears to comply with the real estate appraisal procedures of the Ohio Department of Transportation.  The estimate of compensation appears to be fair and reasonable, is adequately supported, appears to be in compliance with procedures and adequately considers compensation for the part taken, and damages, if any.  The review appraiser recommends the appraisal report as the basis of the FMVE to the property owner.  </w:t>
            </w:r>
          </w:p>
          <w:p w14:paraId="1B8940FE" w14:textId="77777777" w:rsidR="00B803F9" w:rsidRDefault="00B803F9" w:rsidP="00D903C0">
            <w:pPr>
              <w:rPr>
                <w:rFonts w:cstheme="minorHAnsi"/>
              </w:rPr>
            </w:pPr>
          </w:p>
          <w:p w14:paraId="7B8F0EAF" w14:textId="77777777" w:rsidR="00B803F9" w:rsidRDefault="006373FE" w:rsidP="00D903C0">
            <w:pPr>
              <w:rPr>
                <w:rFonts w:cstheme="minorHAnsi"/>
              </w:rPr>
            </w:pPr>
            <w:r>
              <w:rPr>
                <w:rFonts w:cstheme="minorHAnsi"/>
              </w:rPr>
              <w:t>KPS, 02/15/2024, Certification #2001000443</w:t>
            </w:r>
            <w:bookmarkEnd w:id="16"/>
          </w:p>
        </w:tc>
      </w:tr>
    </w:tbl>
    <w:p w14:paraId="5F4BA2A9" w14:textId="77777777" w:rsidR="00B803F9" w:rsidRDefault="00B803F9" w:rsidP="00D903C0">
      <w:pPr>
        <w:spacing w:line="240" w:lineRule="auto"/>
        <w:rPr>
          <w:rFonts w:cstheme="minorHAnsi"/>
        </w:rPr>
      </w:pPr>
    </w:p>
    <w:tbl>
      <w:tblPr>
        <w:tblStyle w:val="GridTable1Light-Accent6"/>
        <w:tblpPr w:leftFromText="180" w:rightFromText="180" w:vertAnchor="text" w:horzAnchor="margin" w:tblpY="43"/>
        <w:tblW w:w="11695" w:type="dxa"/>
        <w:tblBorders>
          <w:insideH w:val="single" w:sz="6" w:space="0" w:color="C5E0B3" w:themeColor="accent6" w:themeTint="66"/>
          <w:insideV w:val="single" w:sz="6" w:space="0" w:color="C5E0B3" w:themeColor="accent6" w:themeTint="66"/>
        </w:tblBorders>
        <w:tblLook w:val="04A0" w:firstRow="1" w:lastRow="0" w:firstColumn="1" w:lastColumn="0" w:noHBand="0" w:noVBand="1"/>
      </w:tblPr>
      <w:tblGrid>
        <w:gridCol w:w="1507"/>
        <w:gridCol w:w="3798"/>
        <w:gridCol w:w="270"/>
        <w:gridCol w:w="2235"/>
        <w:gridCol w:w="15"/>
        <w:gridCol w:w="3870"/>
      </w:tblGrid>
      <w:tr w:rsidR="004341A4" w14:paraId="2A537253" w14:textId="77777777" w:rsidTr="004341A4">
        <w:trPr>
          <w:gridAfter w:val="2"/>
          <w:cnfStyle w:val="100000000000" w:firstRow="1" w:lastRow="0" w:firstColumn="0" w:lastColumn="0" w:oddVBand="0" w:evenVBand="0" w:oddHBand="0" w:evenHBand="0" w:firstRowFirstColumn="0" w:firstRowLastColumn="0" w:lastRowFirstColumn="0" w:lastRowLastColumn="0"/>
          <w:wAfter w:w="3885" w:type="dxa"/>
          <w:cantSplit/>
          <w:trHeight w:val="260"/>
          <w:tblHeader/>
        </w:trPr>
        <w:tc>
          <w:tcPr>
            <w:cnfStyle w:val="001000000000" w:firstRow="0" w:lastRow="0" w:firstColumn="1" w:lastColumn="0" w:oddVBand="0" w:evenVBand="0" w:oddHBand="0" w:evenHBand="0" w:firstRowFirstColumn="0" w:firstRowLastColumn="0" w:lastRowFirstColumn="0" w:lastRowLastColumn="0"/>
            <w:tcW w:w="7810" w:type="dxa"/>
            <w:gridSpan w:val="4"/>
            <w:tcBorders>
              <w:top w:val="single" w:sz="4" w:space="0" w:color="auto"/>
              <w:left w:val="single" w:sz="4" w:space="0" w:color="auto"/>
              <w:bottom w:val="single" w:sz="4" w:space="0" w:color="538135" w:themeColor="accent6" w:themeShade="BF"/>
              <w:right w:val="single" w:sz="4" w:space="0" w:color="auto"/>
            </w:tcBorders>
            <w:shd w:val="clear" w:color="auto" w:fill="1F3864" w:themeFill="accent1" w:themeFillShade="80"/>
          </w:tcPr>
          <w:p w14:paraId="73AC0BF4" w14:textId="77777777" w:rsidR="005F2E1D" w:rsidRPr="00136C5E" w:rsidRDefault="006373FE" w:rsidP="00E348CD">
            <w:pPr>
              <w:autoSpaceDE w:val="0"/>
              <w:autoSpaceDN w:val="0"/>
              <w:jc w:val="center"/>
              <w:rPr>
                <w:rFonts w:cstheme="minorHAnsi"/>
                <w:sz w:val="18"/>
                <w:szCs w:val="20"/>
              </w:rPr>
            </w:pPr>
            <w:r w:rsidRPr="00136C5E">
              <w:rPr>
                <w:rFonts w:cstheme="minorHAnsi"/>
                <w:bCs w:val="0"/>
                <w:sz w:val="18"/>
                <w:szCs w:val="20"/>
              </w:rPr>
              <w:t xml:space="preserve">The </w:t>
            </w:r>
            <w:r w:rsidRPr="00136C5E">
              <w:rPr>
                <w:rFonts w:cstheme="minorHAnsi"/>
                <w:bCs w:val="0"/>
                <w:sz w:val="18"/>
                <w:szCs w:val="20"/>
              </w:rPr>
              <w:t>allocation of compensation recommended above is based upon an approved appraisal report</w:t>
            </w:r>
          </w:p>
        </w:tc>
      </w:tr>
      <w:tr w:rsidR="004341A4" w14:paraId="442D7EDC" w14:textId="77777777" w:rsidTr="004341A4">
        <w:trPr>
          <w:cnfStyle w:val="100000000000" w:firstRow="1" w:lastRow="0" w:firstColumn="0" w:lastColumn="0" w:oddVBand="0" w:evenVBand="0" w:oddHBand="0" w:evenHBand="0" w:firstRowFirstColumn="0" w:firstRowLastColumn="0" w:lastRowFirstColumn="0" w:lastRowLastColumn="0"/>
          <w:cantSplit/>
          <w:trHeight w:val="83"/>
          <w:tblHeader/>
        </w:trPr>
        <w:tc>
          <w:tcPr>
            <w:cnfStyle w:val="001000000000" w:firstRow="0" w:lastRow="0" w:firstColumn="1" w:lastColumn="0" w:oddVBand="0" w:evenVBand="0" w:oddHBand="0" w:evenHBand="0" w:firstRowFirstColumn="0" w:firstRowLastColumn="0" w:lastRowFirstColumn="0" w:lastRowLastColumn="0"/>
            <w:tcW w:w="53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0" w:type="dxa"/>
              <w:bottom w:w="60" w:type="dxa"/>
              <w:right w:w="0" w:type="dxa"/>
            </w:tcMar>
            <w:vAlign w:val="center"/>
          </w:tcPr>
          <w:p w14:paraId="5E55962B" w14:textId="77777777" w:rsidR="004341A4" w:rsidRDefault="006373FE">
            <w:pPr>
              <w:jc w:val="center"/>
            </w:pPr>
            <w:r>
              <w:rPr>
                <w:b w:val="0"/>
              </w:rPr>
              <w:t>Review Appraiser</w:t>
            </w:r>
          </w:p>
        </w:tc>
        <w:tc>
          <w:tcPr>
            <w:tcW w:w="270" w:type="dxa"/>
            <w:tcBorders>
              <w:top w:val="nil"/>
              <w:left w:val="single" w:sz="4" w:space="0" w:color="auto"/>
              <w:bottom w:val="nil"/>
              <w:right w:val="single" w:sz="4" w:space="0" w:color="auto"/>
            </w:tcBorders>
            <w:shd w:val="clear" w:color="auto" w:fill="FFFFFF" w:themeFill="background1"/>
          </w:tcPr>
          <w:p w14:paraId="146EDC6C" w14:textId="77777777" w:rsidR="005F2E1D" w:rsidRPr="00BF2C1D" w:rsidRDefault="005F2E1D" w:rsidP="005F2E1D">
            <w:pPr>
              <w:jc w:val="center"/>
              <w:cnfStyle w:val="100000000000" w:firstRow="1" w:lastRow="0" w:firstColumn="0" w:lastColumn="0" w:oddVBand="0" w:evenVBand="0" w:oddHBand="0" w:evenHBand="0" w:firstRowFirstColumn="0" w:firstRowLastColumn="0" w:lastRowFirstColumn="0" w:lastRowLastColumn="0"/>
              <w:rPr>
                <w:rFonts w:cstheme="minorHAnsi"/>
                <w:sz w:val="16"/>
                <w:szCs w:val="18"/>
              </w:rPr>
            </w:pPr>
          </w:p>
        </w:tc>
        <w:tc>
          <w:tcPr>
            <w:tcW w:w="612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0" w:type="dxa"/>
              <w:bottom w:w="60" w:type="dxa"/>
              <w:right w:w="0" w:type="dxa"/>
            </w:tcMar>
            <w:vAlign w:val="center"/>
          </w:tcPr>
          <w:p w14:paraId="7C0AC4D1" w14:textId="77777777" w:rsidR="004341A4" w:rsidRDefault="006373FE">
            <w:pPr>
              <w:jc w:val="center"/>
              <w:cnfStyle w:val="100000000000" w:firstRow="1" w:lastRow="0" w:firstColumn="0" w:lastColumn="0" w:oddVBand="0" w:evenVBand="0" w:oddHBand="0" w:evenHBand="0" w:firstRowFirstColumn="0" w:firstRowLastColumn="0" w:lastRowFirstColumn="0" w:lastRowLastColumn="0"/>
            </w:pPr>
            <w:r>
              <w:rPr>
                <w:b w:val="0"/>
              </w:rPr>
              <w:t>Agency Establishing FMVE</w:t>
            </w:r>
          </w:p>
        </w:tc>
      </w:tr>
      <w:tr w:rsidR="004341A4" w14:paraId="0ABD1C41" w14:textId="77777777" w:rsidTr="004341A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5305"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60" w:type="dxa"/>
              <w:right w:w="0" w:type="dxa"/>
            </w:tcMar>
            <w:vAlign w:val="center"/>
          </w:tcPr>
          <w:p w14:paraId="20689E5B" w14:textId="77777777" w:rsidR="004341A4" w:rsidRDefault="006373FE">
            <w:r>
              <w:pict w14:anchorId="788EBE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0.25pt;height:55.5pt;mso-position-horizontal:right">
                  <v:imagedata r:id="rId8" o:title=""/>
                </v:shape>
              </w:pict>
            </w:r>
          </w:p>
        </w:tc>
        <w:tc>
          <w:tcPr>
            <w:tcW w:w="270" w:type="dxa"/>
            <w:tcBorders>
              <w:top w:val="nil"/>
              <w:left w:val="single" w:sz="4" w:space="0" w:color="auto"/>
              <w:bottom w:val="nil"/>
              <w:right w:val="single" w:sz="4" w:space="0" w:color="auto"/>
            </w:tcBorders>
            <w:shd w:val="clear" w:color="auto" w:fill="FFFFFF" w:themeFill="background1"/>
          </w:tcPr>
          <w:p w14:paraId="688FDA21" w14:textId="77777777" w:rsidR="005F2E1D" w:rsidRPr="00BF2C1D" w:rsidRDefault="005F2E1D" w:rsidP="00E348CD">
            <w:pPr>
              <w:jc w:val="center"/>
              <w:cnfStyle w:val="100000000000" w:firstRow="1" w:lastRow="0" w:firstColumn="0" w:lastColumn="0" w:oddVBand="0" w:evenVBand="0" w:oddHBand="0" w:evenHBand="0" w:firstRowFirstColumn="0" w:firstRowLastColumn="0" w:lastRowFirstColumn="0" w:lastRowLastColumn="0"/>
              <w:rPr>
                <w:rFonts w:cstheme="minorHAnsi"/>
                <w:sz w:val="20"/>
                <w:szCs w:val="18"/>
              </w:rPr>
            </w:pPr>
          </w:p>
        </w:tc>
        <w:tc>
          <w:tcPr>
            <w:tcW w:w="6120"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60" w:type="dxa"/>
              <w:right w:w="0" w:type="dxa"/>
            </w:tcMar>
          </w:tcPr>
          <w:p w14:paraId="71B0125B" w14:textId="77777777" w:rsidR="004341A4" w:rsidRDefault="006373FE">
            <w:pPr>
              <w:cnfStyle w:val="100000000000" w:firstRow="1" w:lastRow="0" w:firstColumn="0" w:lastColumn="0" w:oddVBand="0" w:evenVBand="0" w:oddHBand="0" w:evenHBand="0" w:firstRowFirstColumn="0" w:firstRowLastColumn="0" w:lastRowFirstColumn="0" w:lastRowLastColumn="0"/>
            </w:pPr>
            <w:r>
              <w:pict w14:anchorId="173A1F3B">
                <v:shape id="_x0000_i1026" type="#_x0000_t75" style="width:200.25pt;height:55.5pt;mso-position-horizontal:right">
                  <v:imagedata r:id="rId9" o:title=""/>
                </v:shape>
              </w:pict>
            </w:r>
          </w:p>
        </w:tc>
      </w:tr>
      <w:tr w:rsidR="004341A4" w14:paraId="317B80BA" w14:textId="77777777" w:rsidTr="004341A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5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F1B25F" w14:textId="77777777" w:rsidR="005F2E1D" w:rsidRPr="00BF2C1D" w:rsidRDefault="006373FE" w:rsidP="005F2E1D">
            <w:pPr>
              <w:jc w:val="right"/>
              <w:rPr>
                <w:rFonts w:cstheme="minorHAnsi"/>
                <w:sz w:val="16"/>
                <w:szCs w:val="18"/>
              </w:rPr>
            </w:pPr>
            <w:r w:rsidRPr="00BF2C1D">
              <w:rPr>
                <w:rFonts w:cstheme="minorHAnsi"/>
                <w:b w:val="0"/>
                <w:bCs w:val="0"/>
                <w:sz w:val="16"/>
                <w:szCs w:val="18"/>
              </w:rPr>
              <w:t>Typed Name:</w:t>
            </w:r>
          </w:p>
        </w:tc>
        <w:tc>
          <w:tcPr>
            <w:tcW w:w="379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60" w:type="dxa"/>
              <w:right w:w="0" w:type="dxa"/>
            </w:tcMar>
            <w:vAlign w:val="center"/>
          </w:tcPr>
          <w:p w14:paraId="3A54A84D" w14:textId="77777777" w:rsidR="004341A4" w:rsidRDefault="006373FE">
            <w:pPr>
              <w:cnfStyle w:val="100000000000" w:firstRow="1" w:lastRow="0" w:firstColumn="0" w:lastColumn="0" w:oddVBand="0" w:evenVBand="0" w:oddHBand="0" w:evenHBand="0" w:firstRowFirstColumn="0" w:firstRowLastColumn="0" w:lastRowFirstColumn="0" w:lastRowLastColumn="0"/>
            </w:pPr>
            <w:r>
              <w:rPr>
                <w:b w:val="0"/>
              </w:rPr>
              <w:t>Kevin P. Schroeder</w:t>
            </w:r>
          </w:p>
        </w:tc>
        <w:tc>
          <w:tcPr>
            <w:tcW w:w="270" w:type="dxa"/>
            <w:tcBorders>
              <w:top w:val="nil"/>
              <w:left w:val="single" w:sz="4" w:space="0" w:color="auto"/>
              <w:bottom w:val="nil"/>
              <w:right w:val="single" w:sz="4" w:space="0" w:color="auto"/>
            </w:tcBorders>
            <w:shd w:val="clear" w:color="auto" w:fill="FFFFFF" w:themeFill="background1"/>
          </w:tcPr>
          <w:p w14:paraId="5CC957E1" w14:textId="77777777" w:rsidR="005F2E1D" w:rsidRPr="00BF2C1D" w:rsidRDefault="005F2E1D" w:rsidP="005F2E1D">
            <w:pPr>
              <w:cnfStyle w:val="100000000000" w:firstRow="1" w:lastRow="0" w:firstColumn="0" w:lastColumn="0" w:oddVBand="0" w:evenVBand="0" w:oddHBand="0" w:evenHBand="0" w:firstRowFirstColumn="0" w:firstRowLastColumn="0" w:lastRowFirstColumn="0" w:lastRowLastColumn="0"/>
              <w:rPr>
                <w:rFonts w:cstheme="minorHAnsi"/>
                <w:sz w:val="18"/>
                <w:szCs w:val="18"/>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3D3EA3" w14:textId="77777777" w:rsidR="005F2E1D" w:rsidRPr="00BF2C1D" w:rsidRDefault="006373FE" w:rsidP="005F2E1D">
            <w:pPr>
              <w:jc w:val="righ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BF2C1D">
              <w:rPr>
                <w:rFonts w:cstheme="minorHAnsi"/>
                <w:b w:val="0"/>
                <w:bCs w:val="0"/>
                <w:sz w:val="16"/>
                <w:szCs w:val="18"/>
              </w:rPr>
              <w:t>Typed Name:</w:t>
            </w: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60" w:type="dxa"/>
              <w:right w:w="0" w:type="dxa"/>
            </w:tcMar>
          </w:tcPr>
          <w:p w14:paraId="4F98BC45" w14:textId="77777777" w:rsidR="004341A4" w:rsidRDefault="006373FE">
            <w:pPr>
              <w:cnfStyle w:val="100000000000" w:firstRow="1" w:lastRow="0" w:firstColumn="0" w:lastColumn="0" w:oddVBand="0" w:evenVBand="0" w:oddHBand="0" w:evenHBand="0" w:firstRowFirstColumn="0" w:firstRowLastColumn="0" w:lastRowFirstColumn="0" w:lastRowLastColumn="0"/>
            </w:pPr>
            <w:r>
              <w:rPr>
                <w:b w:val="0"/>
              </w:rPr>
              <w:t>John R. Wooldridge</w:t>
            </w:r>
          </w:p>
        </w:tc>
      </w:tr>
      <w:tr w:rsidR="004341A4" w14:paraId="200902C8" w14:textId="77777777" w:rsidTr="004341A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5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063B5B" w14:textId="77777777" w:rsidR="005F2E1D" w:rsidRPr="00BF2C1D" w:rsidRDefault="006373FE" w:rsidP="005F2E1D">
            <w:pPr>
              <w:jc w:val="right"/>
              <w:rPr>
                <w:rFonts w:cstheme="minorHAnsi"/>
                <w:sz w:val="16"/>
                <w:szCs w:val="18"/>
              </w:rPr>
            </w:pPr>
            <w:r w:rsidRPr="00BF2C1D">
              <w:rPr>
                <w:rFonts w:cstheme="minorHAnsi"/>
                <w:b w:val="0"/>
                <w:bCs w:val="0"/>
                <w:sz w:val="16"/>
                <w:szCs w:val="18"/>
              </w:rPr>
              <w:t>Title:</w:t>
            </w:r>
          </w:p>
        </w:tc>
        <w:tc>
          <w:tcPr>
            <w:tcW w:w="379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60" w:type="dxa"/>
              <w:right w:w="0" w:type="dxa"/>
            </w:tcMar>
            <w:vAlign w:val="center"/>
          </w:tcPr>
          <w:p w14:paraId="0C1FFF75" w14:textId="77777777" w:rsidR="004341A4" w:rsidRDefault="006373FE">
            <w:pPr>
              <w:cnfStyle w:val="100000000000" w:firstRow="1" w:lastRow="0" w:firstColumn="0" w:lastColumn="0" w:oddVBand="0" w:evenVBand="0" w:oddHBand="0" w:evenHBand="0" w:firstRowFirstColumn="0" w:firstRowLastColumn="0" w:lastRowFirstColumn="0" w:lastRowLastColumn="0"/>
            </w:pPr>
            <w:r>
              <w:rPr>
                <w:b w:val="0"/>
              </w:rPr>
              <w:t>Vice President</w:t>
            </w:r>
          </w:p>
        </w:tc>
        <w:tc>
          <w:tcPr>
            <w:tcW w:w="270" w:type="dxa"/>
            <w:tcBorders>
              <w:top w:val="nil"/>
              <w:left w:val="single" w:sz="4" w:space="0" w:color="auto"/>
              <w:bottom w:val="nil"/>
              <w:right w:val="single" w:sz="4" w:space="0" w:color="auto"/>
            </w:tcBorders>
            <w:shd w:val="clear" w:color="auto" w:fill="FFFFFF" w:themeFill="background1"/>
          </w:tcPr>
          <w:p w14:paraId="4297E679" w14:textId="77777777" w:rsidR="005F2E1D" w:rsidRPr="00BF2C1D" w:rsidRDefault="005F2E1D" w:rsidP="005F2E1D">
            <w:pPr>
              <w:cnfStyle w:val="100000000000" w:firstRow="1" w:lastRow="0" w:firstColumn="0" w:lastColumn="0" w:oddVBand="0" w:evenVBand="0" w:oddHBand="0" w:evenHBand="0" w:firstRowFirstColumn="0" w:firstRowLastColumn="0" w:lastRowFirstColumn="0" w:lastRowLastColumn="0"/>
              <w:rPr>
                <w:rFonts w:cstheme="minorHAnsi"/>
                <w:sz w:val="18"/>
                <w:szCs w:val="18"/>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7187EC" w14:textId="77777777" w:rsidR="005F2E1D" w:rsidRPr="00BF2C1D" w:rsidRDefault="006373FE" w:rsidP="005F2E1D">
            <w:pPr>
              <w:jc w:val="righ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BF2C1D">
              <w:rPr>
                <w:rFonts w:cstheme="minorHAnsi"/>
                <w:b w:val="0"/>
                <w:bCs w:val="0"/>
                <w:sz w:val="16"/>
                <w:szCs w:val="18"/>
              </w:rPr>
              <w:t>Title:</w:t>
            </w: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60" w:type="dxa"/>
              <w:right w:w="0" w:type="dxa"/>
            </w:tcMar>
          </w:tcPr>
          <w:p w14:paraId="16784C04" w14:textId="77777777" w:rsidR="004341A4" w:rsidRDefault="006373FE">
            <w:pPr>
              <w:cnfStyle w:val="100000000000" w:firstRow="1" w:lastRow="0" w:firstColumn="0" w:lastColumn="0" w:oddVBand="0" w:evenVBand="0" w:oddHBand="0" w:evenHBand="0" w:firstRowFirstColumn="0" w:firstRowLastColumn="0" w:lastRowFirstColumn="0" w:lastRowLastColumn="0"/>
            </w:pPr>
            <w:r>
              <w:rPr>
                <w:b w:val="0"/>
              </w:rPr>
              <w:t>D5 REA</w:t>
            </w:r>
          </w:p>
        </w:tc>
      </w:tr>
      <w:tr w:rsidR="004341A4" w14:paraId="149033C8" w14:textId="77777777" w:rsidTr="004341A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5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BC7785" w14:textId="77777777" w:rsidR="005F2E1D" w:rsidRPr="00BF2C1D" w:rsidRDefault="006373FE" w:rsidP="005F2E1D">
            <w:pPr>
              <w:jc w:val="right"/>
              <w:rPr>
                <w:rFonts w:cstheme="minorHAnsi"/>
                <w:sz w:val="16"/>
                <w:szCs w:val="18"/>
              </w:rPr>
            </w:pPr>
            <w:r w:rsidRPr="00BF2C1D">
              <w:rPr>
                <w:rFonts w:cstheme="minorHAnsi"/>
                <w:b w:val="0"/>
                <w:bCs w:val="0"/>
                <w:sz w:val="16"/>
                <w:szCs w:val="18"/>
              </w:rPr>
              <w:t>Date:</w:t>
            </w:r>
          </w:p>
        </w:tc>
        <w:tc>
          <w:tcPr>
            <w:tcW w:w="379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60" w:type="dxa"/>
              <w:right w:w="0" w:type="dxa"/>
            </w:tcMar>
            <w:vAlign w:val="center"/>
          </w:tcPr>
          <w:p w14:paraId="1D41DA06" w14:textId="77777777" w:rsidR="004341A4" w:rsidRDefault="006373FE">
            <w:pPr>
              <w:cnfStyle w:val="100000000000" w:firstRow="1" w:lastRow="0" w:firstColumn="0" w:lastColumn="0" w:oddVBand="0" w:evenVBand="0" w:oddHBand="0" w:evenHBand="0" w:firstRowFirstColumn="0" w:firstRowLastColumn="0" w:lastRowFirstColumn="0" w:lastRowLastColumn="0"/>
            </w:pPr>
            <w:r>
              <w:rPr>
                <w:b w:val="0"/>
              </w:rPr>
              <w:t>02/15/2024</w:t>
            </w:r>
          </w:p>
        </w:tc>
        <w:tc>
          <w:tcPr>
            <w:tcW w:w="270" w:type="dxa"/>
            <w:tcBorders>
              <w:top w:val="nil"/>
              <w:left w:val="single" w:sz="4" w:space="0" w:color="auto"/>
              <w:bottom w:val="nil"/>
              <w:right w:val="single" w:sz="4" w:space="0" w:color="auto"/>
            </w:tcBorders>
            <w:shd w:val="clear" w:color="auto" w:fill="FFFFFF" w:themeFill="background1"/>
          </w:tcPr>
          <w:p w14:paraId="0255CE35" w14:textId="77777777" w:rsidR="005F2E1D" w:rsidRPr="00BF2C1D" w:rsidRDefault="005F2E1D" w:rsidP="005F2E1D">
            <w:pPr>
              <w:cnfStyle w:val="100000000000" w:firstRow="1" w:lastRow="0" w:firstColumn="0" w:lastColumn="0" w:oddVBand="0" w:evenVBand="0" w:oddHBand="0" w:evenHBand="0" w:firstRowFirstColumn="0" w:firstRowLastColumn="0" w:lastRowFirstColumn="0" w:lastRowLastColumn="0"/>
              <w:rPr>
                <w:rFonts w:cstheme="minorHAnsi"/>
                <w:sz w:val="18"/>
                <w:szCs w:val="18"/>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D4794F" w14:textId="77777777" w:rsidR="005F2E1D" w:rsidRPr="00BF2C1D" w:rsidRDefault="006373FE" w:rsidP="005F2E1D">
            <w:pPr>
              <w:jc w:val="righ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BF2C1D">
              <w:rPr>
                <w:rFonts w:cstheme="minorHAnsi"/>
                <w:b w:val="0"/>
                <w:bCs w:val="0"/>
                <w:sz w:val="16"/>
                <w:szCs w:val="18"/>
              </w:rPr>
              <w:t>Date:</w:t>
            </w: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60" w:type="dxa"/>
              <w:right w:w="0" w:type="dxa"/>
            </w:tcMar>
          </w:tcPr>
          <w:p w14:paraId="623E8C10" w14:textId="77777777" w:rsidR="004341A4" w:rsidRDefault="006373FE">
            <w:pPr>
              <w:cnfStyle w:val="100000000000" w:firstRow="1" w:lastRow="0" w:firstColumn="0" w:lastColumn="0" w:oddVBand="0" w:evenVBand="0" w:oddHBand="0" w:evenHBand="0" w:firstRowFirstColumn="0" w:firstRowLastColumn="0" w:lastRowFirstColumn="0" w:lastRowLastColumn="0"/>
            </w:pPr>
            <w:r>
              <w:rPr>
                <w:b w:val="0"/>
              </w:rPr>
              <w:t>02/16/2024</w:t>
            </w:r>
          </w:p>
        </w:tc>
      </w:tr>
    </w:tbl>
    <w:p w14:paraId="7B1F3DB2" w14:textId="77777777" w:rsidR="005A7928" w:rsidRPr="00D903C0" w:rsidRDefault="005A7928" w:rsidP="00D903C0">
      <w:pPr>
        <w:spacing w:line="240" w:lineRule="auto"/>
        <w:rPr>
          <w:rFonts w:cstheme="minorHAnsi"/>
        </w:rPr>
      </w:pPr>
    </w:p>
    <w:sectPr w:rsidR="005A7928" w:rsidRPr="00D903C0" w:rsidSect="00267435">
      <w:type w:val="continuous"/>
      <w:pgSz w:w="12240" w:h="15840"/>
      <w:pgMar w:top="900" w:right="270" w:bottom="720" w:left="2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BD9"/>
    <w:rsid w:val="00005A3D"/>
    <w:rsid w:val="0003516D"/>
    <w:rsid w:val="0005094F"/>
    <w:rsid w:val="000A769C"/>
    <w:rsid w:val="000B3C31"/>
    <w:rsid w:val="000C74B6"/>
    <w:rsid w:val="000D0BC8"/>
    <w:rsid w:val="001017D4"/>
    <w:rsid w:val="001060DD"/>
    <w:rsid w:val="00131A9E"/>
    <w:rsid w:val="00136C5E"/>
    <w:rsid w:val="00147D75"/>
    <w:rsid w:val="001951FC"/>
    <w:rsid w:val="001D5C2C"/>
    <w:rsid w:val="00267435"/>
    <w:rsid w:val="00274C11"/>
    <w:rsid w:val="00300916"/>
    <w:rsid w:val="003610F8"/>
    <w:rsid w:val="0038320F"/>
    <w:rsid w:val="00391BCA"/>
    <w:rsid w:val="00414694"/>
    <w:rsid w:val="004341A4"/>
    <w:rsid w:val="004A1DF1"/>
    <w:rsid w:val="004E5627"/>
    <w:rsid w:val="004E5796"/>
    <w:rsid w:val="0059407B"/>
    <w:rsid w:val="005948DE"/>
    <w:rsid w:val="005A7928"/>
    <w:rsid w:val="005F2E1D"/>
    <w:rsid w:val="006138B0"/>
    <w:rsid w:val="00617BFF"/>
    <w:rsid w:val="006373FE"/>
    <w:rsid w:val="00693D5D"/>
    <w:rsid w:val="006D58CA"/>
    <w:rsid w:val="006F23CE"/>
    <w:rsid w:val="006F364F"/>
    <w:rsid w:val="006F6F1B"/>
    <w:rsid w:val="00717387"/>
    <w:rsid w:val="00732EAE"/>
    <w:rsid w:val="00744087"/>
    <w:rsid w:val="007940BA"/>
    <w:rsid w:val="007E3AC8"/>
    <w:rsid w:val="00855BA3"/>
    <w:rsid w:val="008808EB"/>
    <w:rsid w:val="0094784C"/>
    <w:rsid w:val="00947C7F"/>
    <w:rsid w:val="009612C0"/>
    <w:rsid w:val="00972DE0"/>
    <w:rsid w:val="00982E0E"/>
    <w:rsid w:val="0098596A"/>
    <w:rsid w:val="009F74C4"/>
    <w:rsid w:val="00A70888"/>
    <w:rsid w:val="00A758A4"/>
    <w:rsid w:val="00A87B84"/>
    <w:rsid w:val="00AF19AC"/>
    <w:rsid w:val="00AF6B49"/>
    <w:rsid w:val="00B52DE5"/>
    <w:rsid w:val="00B67770"/>
    <w:rsid w:val="00B803F9"/>
    <w:rsid w:val="00BD41A0"/>
    <w:rsid w:val="00BF2C1D"/>
    <w:rsid w:val="00CB15C5"/>
    <w:rsid w:val="00CB4F0E"/>
    <w:rsid w:val="00CE682D"/>
    <w:rsid w:val="00D15A3A"/>
    <w:rsid w:val="00D505D7"/>
    <w:rsid w:val="00D74F46"/>
    <w:rsid w:val="00D753A9"/>
    <w:rsid w:val="00D903C0"/>
    <w:rsid w:val="00D92554"/>
    <w:rsid w:val="00D93F93"/>
    <w:rsid w:val="00DA66C1"/>
    <w:rsid w:val="00DC7DA4"/>
    <w:rsid w:val="00DD20F1"/>
    <w:rsid w:val="00E00EEA"/>
    <w:rsid w:val="00E02147"/>
    <w:rsid w:val="00E058AE"/>
    <w:rsid w:val="00E12B0C"/>
    <w:rsid w:val="00E348CD"/>
    <w:rsid w:val="00E6394E"/>
    <w:rsid w:val="00E722AC"/>
    <w:rsid w:val="00EA23A6"/>
    <w:rsid w:val="00EB1554"/>
    <w:rsid w:val="00EF3D05"/>
    <w:rsid w:val="00F12FA4"/>
    <w:rsid w:val="00F363AE"/>
    <w:rsid w:val="00F37F3F"/>
    <w:rsid w:val="00FD2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7CCD761"/>
  <w15:chartTrackingRefBased/>
  <w15:docId w15:val="{7375BCF8-EC0C-4579-A266-6AADA5E14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58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CE682D"/>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CE682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rsid w:val="00CE682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
    <w:name w:val="Grid Table 1 Light"/>
    <w:basedOn w:val="TableNormal"/>
    <w:uiPriority w:val="46"/>
    <w:rsid w:val="00CE682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Accent6">
    <w:name w:val="Grid Table 4 Accent 6"/>
    <w:basedOn w:val="TableNormal"/>
    <w:uiPriority w:val="49"/>
    <w:rsid w:val="00CE682D"/>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Accent6">
    <w:name w:val="Grid Table 5 Dark Accent 6"/>
    <w:basedOn w:val="TableNormal"/>
    <w:uiPriority w:val="50"/>
    <w:rsid w:val="00CE682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7Colorful-Accent6">
    <w:name w:val="Grid Table 7 Colorful Accent 6"/>
    <w:basedOn w:val="TableNormal"/>
    <w:uiPriority w:val="52"/>
    <w:rsid w:val="00CE682D"/>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ListTable7Colorful-Accent6">
    <w:name w:val="List Table 7 Colorful Accent 6"/>
    <w:basedOn w:val="TableNormal"/>
    <w:uiPriority w:val="52"/>
    <w:rsid w:val="00CE682D"/>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4-Accent6">
    <w:name w:val="List Table 4 Accent 6"/>
    <w:basedOn w:val="TableNormal"/>
    <w:uiPriority w:val="49"/>
    <w:rsid w:val="00CE682D"/>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Header">
    <w:name w:val="header"/>
    <w:basedOn w:val="Normal"/>
    <w:link w:val="HeaderChar"/>
    <w:uiPriority w:val="99"/>
    <w:unhideWhenUsed/>
    <w:rsid w:val="00D505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5D7"/>
  </w:style>
  <w:style w:type="paragraph" w:styleId="Footer">
    <w:name w:val="footer"/>
    <w:basedOn w:val="Normal"/>
    <w:link w:val="FooterChar"/>
    <w:uiPriority w:val="99"/>
    <w:unhideWhenUsed/>
    <w:rsid w:val="00D505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37C225C5A4344793B1606AF87B4B78" ma:contentTypeVersion="0" ma:contentTypeDescription="Create a new document." ma:contentTypeScope="" ma:versionID="a2adfd64e0ba4ac68d3f0ea8a031331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39B2EB-F709-45FE-AFBE-4BBFBF4490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9E5DF51-556B-4A58-9C1A-BFAC74162A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163ACA-7C2F-4155-A93A-A19346869FAE}">
  <ds:schemaRefs>
    <ds:schemaRef ds:uri="http://schemas.openxmlformats.org/officeDocument/2006/bibliography"/>
  </ds:schemaRefs>
</ds:datastoreItem>
</file>

<file path=customXml/itemProps4.xml><?xml version="1.0" encoding="utf-8"?>
<ds:datastoreItem xmlns:ds="http://schemas.openxmlformats.org/officeDocument/2006/customXml" ds:itemID="{43CE2356-518C-4B31-A4A3-71ACCA0F31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Schmidt, Benjamin</dc:creator>
  <cp:lastModifiedBy>Kimber Heim</cp:lastModifiedBy>
  <cp:revision>2</cp:revision>
  <cp:lastPrinted>2019-04-03T15:28:00Z</cp:lastPrinted>
  <dcterms:created xsi:type="dcterms:W3CDTF">2024-03-15T22:34:00Z</dcterms:created>
  <dcterms:modified xsi:type="dcterms:W3CDTF">2024-03-15T22:34:00Z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0x0101002237C225C5A4344793B1606AF87B4B78</vt:lpwstr>
  </property>
</Properties>
</file>