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2E0B5B36">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5"/>
          </w:tcPr>
          <w:p w14:paraId="5C3DEAAC" w14:textId="77777777" w:rsidR="006D72A3" w:rsidRDefault="006D72A3" w:rsidP="006D72A3">
            <w:pPr>
              <w:rPr>
                <w:color w:val="000000" w:themeColor="text1"/>
              </w:rPr>
            </w:pPr>
          </w:p>
          <w:p w14:paraId="4E60B1D6" w14:textId="77777777" w:rsidR="006D72A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1F1FB2A0" w14:textId="77777777" w:rsidR="006D72A3" w:rsidRDefault="006D72A3" w:rsidP="006D72A3">
            <w:pPr>
              <w:rPr>
                <w:color w:val="000000" w:themeColor="text1"/>
              </w:rPr>
            </w:pPr>
            <w:r>
              <w:rPr>
                <w:color w:val="000000" w:themeColor="text1"/>
              </w:rPr>
              <w:t xml:space="preserve">The property has 1296 sq ft of living space per auditor. There is a partial basement and part cellar, both areas considered unsafe. Due to the lack of utility of several rooms, and the inability to enter them to measure, the estimated habitable living space of this home is 918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two of the upper rooms.  </w:t>
            </w: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5"/>
          </w:tcPr>
          <w:p w14:paraId="0DC6E2E6" w14:textId="2105C0F0" w:rsidR="006D72A3" w:rsidRDefault="006D72A3" w:rsidP="006D72A3">
            <w:pPr>
              <w:rPr>
                <w:b/>
                <w:bCs/>
                <w:sz w:val="28"/>
                <w:szCs w:val="28"/>
              </w:rPr>
            </w:pPr>
            <w:r>
              <w:rPr>
                <w:b/>
                <w:bCs/>
                <w:sz w:val="28"/>
                <w:szCs w:val="28"/>
              </w:rPr>
              <w:lastRenderedPageBreak/>
              <w:t>Description of Comparable Properties as compared to Subject Property:</w:t>
            </w:r>
          </w:p>
        </w:tc>
      </w:tr>
      <w:tr w:rsidR="006D72A3" w14:paraId="770E0B8B" w14:textId="77777777" w:rsidTr="00C74AF8">
        <w:tc>
          <w:tcPr>
            <w:tcW w:w="2070" w:type="dxa"/>
          </w:tcPr>
          <w:p w14:paraId="1818867A" w14:textId="6D32606D" w:rsidR="006D72A3" w:rsidRPr="00974581" w:rsidRDefault="006D72A3" w:rsidP="006D72A3">
            <w:pPr>
              <w:rPr>
                <w:b/>
                <w:bCs/>
                <w:sz w:val="28"/>
                <w:szCs w:val="28"/>
              </w:rPr>
            </w:pPr>
            <w:r w:rsidRPr="00974581">
              <w:rPr>
                <w:b/>
                <w:bCs/>
                <w:sz w:val="28"/>
                <w:szCs w:val="28"/>
              </w:rPr>
              <w:t>Comparable 1</w:t>
            </w:r>
          </w:p>
        </w:tc>
        <w:tc>
          <w:tcPr>
            <w:tcW w:w="8005" w:type="dxa"/>
            <w:gridSpan w:val="4"/>
          </w:tcPr>
          <w:p w14:paraId="102859E9" w14:textId="7A40269B"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5"/>
          </w:tcPr>
          <w:p w14:paraId="65DB898C" w14:textId="77777777" w:rsidR="006D72A3" w:rsidRDefault="006D72A3" w:rsidP="006D72A3"/>
          <w:p w14:paraId="41D0197D" w14:textId="048E6594" w:rsidR="006D72A3" w:rsidRDefault="006D72A3" w:rsidP="006D72A3">
            <w:r>
              <w:t xml:space="preserve">Comparable 1 is a one-story, single-family home.  The home contains four rooms, </w:t>
            </w:r>
            <w:proofErr w:type="gramStart"/>
            <w:r>
              <w:t>kitchen</w:t>
            </w:r>
            <w:proofErr w:type="gramEnd"/>
            <w:r>
              <w:t xml:space="preserve">, living room, two bedrooms and one full bath.  The basement is clean and dry and can be utilized for storage.  This property has </w:t>
            </w:r>
            <w:proofErr w:type="gramStart"/>
            <w:r>
              <w:t>laundry</w:t>
            </w:r>
            <w:proofErr w:type="gramEnd"/>
            <w:r>
              <w:t xml:space="preserve"> area off the kitchen and connected to the rear entrance to the property.  This property has a nice front porch, a small back porch, a storage </w:t>
            </w:r>
            <w:proofErr w:type="gramStart"/>
            <w:r>
              <w:t>building</w:t>
            </w:r>
            <w:proofErr w:type="gramEnd"/>
            <w:r>
              <w:t xml:space="preserve">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w:t>
            </w:r>
            <w:proofErr w:type="gramStart"/>
            <w:r>
              <w:t>The parking</w:t>
            </w:r>
            <w:proofErr w:type="gramEnd"/>
            <w:r>
              <w:t xml:space="preserve">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t>on</w:t>
            </w:r>
            <w:proofErr w:type="gramEnd"/>
            <w:r>
              <w:t xml:space="preserve">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4"/>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5"/>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w:t>
            </w:r>
            <w:proofErr w:type="gramStart"/>
            <w:r>
              <w:t>storage</w:t>
            </w:r>
            <w:proofErr w:type="gramEnd"/>
            <w:r>
              <w:t xml:space="preserv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6D72A3" w:rsidRDefault="006D72A3" w:rsidP="006D72A3">
            <w:r>
              <w:t xml:space="preserve">Compared to the subject property this rental property has air conditioning available, a new furnace, nice wooden </w:t>
            </w:r>
            <w:proofErr w:type="gramStart"/>
            <w:r>
              <w:t>floors</w:t>
            </w:r>
            <w:proofErr w:type="gramEnd"/>
            <w:r>
              <w:t xml:space="preserve">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63B97CFC" w14:textId="2D49A332" w:rsidR="006D72A3" w:rsidRPr="00386208" w:rsidRDefault="006D72A3" w:rsidP="006D72A3"/>
        </w:tc>
      </w:tr>
      <w:tr w:rsidR="006D72A3" w14:paraId="7DED6A03" w14:textId="77777777" w:rsidTr="00C74AF8">
        <w:tc>
          <w:tcPr>
            <w:tcW w:w="2070" w:type="dxa"/>
          </w:tcPr>
          <w:p w14:paraId="459E373A" w14:textId="45CAB239" w:rsidR="006D72A3" w:rsidRDefault="006D72A3" w:rsidP="006D72A3">
            <w:pPr>
              <w:rPr>
                <w:b/>
                <w:bCs/>
                <w:sz w:val="28"/>
                <w:szCs w:val="28"/>
              </w:rPr>
            </w:pPr>
            <w:r>
              <w:rPr>
                <w:b/>
                <w:bCs/>
                <w:sz w:val="28"/>
                <w:szCs w:val="28"/>
              </w:rPr>
              <w:t>Comparable 3</w:t>
            </w:r>
          </w:p>
        </w:tc>
        <w:tc>
          <w:tcPr>
            <w:tcW w:w="8005" w:type="dxa"/>
            <w:gridSpan w:val="4"/>
          </w:tcPr>
          <w:p w14:paraId="5B1CE0EA" w14:textId="1158664F"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5"/>
          </w:tcPr>
          <w:p w14:paraId="21E59E63" w14:textId="77777777" w:rsidR="006D72A3" w:rsidRDefault="006D72A3" w:rsidP="006D72A3"/>
          <w:p w14:paraId="543AB121" w14:textId="3ED58F42" w:rsidR="006D72A3" w:rsidRDefault="006D72A3" w:rsidP="006D72A3">
            <w:r>
              <w:t xml:space="preserve">Comparable 3 is a one-story, single-family home on a busy main street in Zanesville, Ohio.  This property has less living space at 645 sq ft.  There are two bedrooms, but one bedroom is 8 x 8, and the other bedroom has </w:t>
            </w:r>
            <w:proofErr w:type="gramStart"/>
            <w:r>
              <w:t>the</w:t>
            </w:r>
            <w:proofErr w:type="gramEnd"/>
            <w:r>
              <w:t xml:space="preserve"> front door which opens into the bedroom as compared to the size of both rooms at the subject bedrooms are larger.  The kitchen is a small room with laundry </w:t>
            </w:r>
            <w:proofErr w:type="gramStart"/>
            <w:r>
              <w:lastRenderedPageBreak/>
              <w:t>hook</w:t>
            </w:r>
            <w:proofErr w:type="gramEnd"/>
            <w: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5"/>
          </w:tcPr>
          <w:p w14:paraId="6ABE9D59" w14:textId="6CBFFBC8" w:rsidR="006D72A3" w:rsidRDefault="006D72A3" w:rsidP="006D72A3">
            <w:pPr>
              <w:jc w:val="center"/>
              <w:rPr>
                <w:b/>
                <w:bCs/>
                <w:sz w:val="28"/>
                <w:szCs w:val="28"/>
              </w:rPr>
            </w:pPr>
            <w:r>
              <w:rPr>
                <w:b/>
                <w:bCs/>
                <w:sz w:val="28"/>
                <w:szCs w:val="28"/>
              </w:rPr>
              <w:lastRenderedPageBreak/>
              <w:t>Determination of Prime Comparable</w:t>
            </w:r>
          </w:p>
        </w:tc>
      </w:tr>
      <w:tr w:rsidR="006D72A3" w14:paraId="5638C970" w14:textId="77777777" w:rsidTr="00C74AF8">
        <w:tc>
          <w:tcPr>
            <w:tcW w:w="10075" w:type="dxa"/>
            <w:gridSpan w:val="5"/>
          </w:tcPr>
          <w:p w14:paraId="0FFBECDF" w14:textId="77777777" w:rsidR="006D72A3" w:rsidRDefault="006D72A3" w:rsidP="006D72A3"/>
          <w:p w14:paraId="7BD0931C" w14:textId="00F9F36A" w:rsidR="006D72A3" w:rsidRDefault="006D72A3" w:rsidP="006D72A3">
            <w:r>
              <w:t xml:space="preserve">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56299D4C" w14:textId="77777777" w:rsidR="006D72A3" w:rsidRDefault="006D72A3" w:rsidP="006D72A3"/>
          <w:p w14:paraId="730ED70D" w14:textId="77777777" w:rsidR="006D72A3" w:rsidRDefault="006D72A3" w:rsidP="006D72A3">
            <w:r>
              <w:t>Comparable 1 meets or exceeds all points of comparability which are noted on the RE 611 (T).  Comparable is available and meets the necessary criteria and has been chosen as the Prime Comparable for determination of the Rent Supplement Payment.</w:t>
            </w:r>
          </w:p>
          <w:p w14:paraId="0FD44CD7" w14:textId="77777777" w:rsidR="006D72A3" w:rsidRDefault="006D72A3" w:rsidP="006D72A3"/>
          <w:p w14:paraId="0244DAC3" w14:textId="7787905C" w:rsidR="006D72A3" w:rsidRDefault="006D72A3" w:rsidP="006D72A3">
            <w:r>
              <w:t>Per section 6607.01 of the ODOT Real Estate Manual, Determination to Provide Housing of Last Resort.  Whenever a project or program cannot proceed on a timely basis because of comparable replacement rental properties are limited or quickly on and off the market within the monetary limits of $7,200, the displacing agency shall provide additional or alternate assistance under the provisions of Laas Resort Housing.</w:t>
            </w:r>
          </w:p>
          <w:p w14:paraId="4CFA1AEC" w14:textId="77777777" w:rsidR="006D72A3" w:rsidRDefault="006D72A3" w:rsidP="006D72A3"/>
          <w:p w14:paraId="20B18EF2" w14:textId="6BFA2D0E" w:rsidR="006D72A3" w:rsidRDefault="006D72A3" w:rsidP="006D72A3">
            <w:r>
              <w:t xml:space="preserve">The exhaustive, lengthy search of all rental properties available from </w:t>
            </w:r>
            <w:proofErr w:type="spellStart"/>
            <w:r>
              <w:t>Gaysport</w:t>
            </w:r>
            <w:proofErr w:type="spellEnd"/>
            <w:r>
              <w:t xml:space="preserve">/Blue Rock through Maple Avenue in Northern Zanesville has calculated out to an amount above the $7,200 limit.  If nothing is available within the limit of $7,200, the displacing agency will provide rental supplement payment under the provisions of Last Resort Housing.  </w:t>
            </w:r>
          </w:p>
          <w:p w14:paraId="36DFC172" w14:textId="77777777" w:rsidR="006D72A3" w:rsidRDefault="006D72A3" w:rsidP="006D72A3"/>
          <w:p w14:paraId="2CF22768" w14:textId="7C6E75A4" w:rsidR="006D72A3" w:rsidRDefault="006D72A3" w:rsidP="006D72A3">
            <w:r>
              <w:t>The condition of the subject property and the added hurdle of market rent calculation being required as no rent was being paid to Property owner and the current market for rental properties in the area has caused our search to exceed the RSP monetary limit of $7,200.00.  Therefore, I am requesting approval for use of Last Resort Housing.</w:t>
            </w:r>
          </w:p>
          <w:p w14:paraId="177DF550" w14:textId="69802489" w:rsidR="006D72A3" w:rsidRPr="00B77876" w:rsidRDefault="006D72A3" w:rsidP="006D72A3"/>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2"/>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3"/>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3"/>
          </w:tcPr>
          <w:p w14:paraId="59C78961" w14:textId="3CBE68B6" w:rsidR="006D72A3" w:rsidRDefault="006D72A3" w:rsidP="006D72A3">
            <w:pPr>
              <w:rPr>
                <w:b/>
                <w:bCs/>
                <w:sz w:val="28"/>
                <w:szCs w:val="28"/>
              </w:rPr>
            </w:pPr>
            <w:r>
              <w:rPr>
                <w:b/>
                <w:bCs/>
                <w:sz w:val="28"/>
                <w:szCs w:val="28"/>
              </w:rPr>
              <w:t>Relocation Agent-in-Training</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3"/>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27382C"/>
    <w:rsid w:val="00386208"/>
    <w:rsid w:val="006344BF"/>
    <w:rsid w:val="00673D65"/>
    <w:rsid w:val="006D72A3"/>
    <w:rsid w:val="00725258"/>
    <w:rsid w:val="00857605"/>
    <w:rsid w:val="008D5EC1"/>
    <w:rsid w:val="00974581"/>
    <w:rsid w:val="009B2DFC"/>
    <w:rsid w:val="00B77876"/>
    <w:rsid w:val="00C57CE3"/>
    <w:rsid w:val="00C7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2</cp:revision>
  <dcterms:created xsi:type="dcterms:W3CDTF">2024-01-18T21:17:00Z</dcterms:created>
  <dcterms:modified xsi:type="dcterms:W3CDTF">2024-01-18T21:17:00Z</dcterms:modified>
</cp:coreProperties>
</file>