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D0" w:rsidRDefault="002740D0">
      <w:pPr>
        <w:pStyle w:val="Title"/>
      </w:pPr>
      <w:r>
        <w:t xml:space="preserve">TRANSPORTATION – </w:t>
      </w:r>
      <w:r w:rsidR="00D00D1A">
        <w:t>INDEX</w:t>
      </w:r>
    </w:p>
    <w:p w:rsidR="002740D0" w:rsidRDefault="002740D0">
      <w:pPr>
        <w:rPr>
          <w:u w:val="single"/>
        </w:rPr>
      </w:pPr>
    </w:p>
    <w:p w:rsidR="002740D0" w:rsidRDefault="002740D0">
      <w:pPr>
        <w:rPr>
          <w:sz w:val="22"/>
        </w:rPr>
      </w:pPr>
      <w:r>
        <w:rPr>
          <w:sz w:val="22"/>
        </w:rPr>
        <w:t xml:space="preserve">Accident Data, RMEV &amp; HMVM - </w:t>
      </w:r>
      <w:r w:rsidR="001C1DED">
        <w:rPr>
          <w:sz w:val="22"/>
        </w:rPr>
        <w:t>CERM</w:t>
      </w:r>
      <w:r>
        <w:rPr>
          <w:sz w:val="22"/>
        </w:rPr>
        <w:t>, 75-7</w:t>
      </w:r>
    </w:p>
    <w:p w:rsidR="002740D0" w:rsidRDefault="002740D0">
      <w:pPr>
        <w:rPr>
          <w:sz w:val="22"/>
        </w:rPr>
      </w:pPr>
      <w:r>
        <w:rPr>
          <w:sz w:val="22"/>
        </w:rPr>
        <w:t>Arrival Type or Progression Quality – HCM, 10-23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ATR – </w:t>
      </w:r>
      <w:r w:rsidR="001C1DED">
        <w:rPr>
          <w:sz w:val="22"/>
        </w:rPr>
        <w:t>CERM</w:t>
      </w:r>
      <w:r>
        <w:rPr>
          <w:sz w:val="22"/>
        </w:rPr>
        <w:t>, 74-5</w:t>
      </w:r>
    </w:p>
    <w:p w:rsidR="002740D0" w:rsidRDefault="002740D0">
      <w:pPr>
        <w:rPr>
          <w:sz w:val="22"/>
        </w:rPr>
      </w:pPr>
      <w:r>
        <w:rPr>
          <w:sz w:val="22"/>
        </w:rPr>
        <w:t>Average Travel Speed – HCM, 20-20</w:t>
      </w:r>
    </w:p>
    <w:p w:rsidR="002740D0" w:rsidRDefault="002740D0">
      <w:pPr>
        <w:rPr>
          <w:b/>
          <w:bCs/>
          <w:sz w:val="22"/>
        </w:rPr>
      </w:pPr>
      <w:r>
        <w:rPr>
          <w:sz w:val="22"/>
        </w:rPr>
        <w:t xml:space="preserve">Braking Distance </w:t>
      </w:r>
      <w:r w:rsidRPr="001C1DED">
        <w:rPr>
          <w:color w:val="76923C" w:themeColor="accent3" w:themeShade="BF"/>
          <w:sz w:val="22"/>
        </w:rPr>
        <w:t xml:space="preserve">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111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Braking and Skidding Resistance </w:t>
      </w:r>
      <w:r w:rsidR="00FE7C67">
        <w:rPr>
          <w:sz w:val="22"/>
        </w:rPr>
        <w:t>–</w:t>
      </w:r>
      <w:r>
        <w:rPr>
          <w:sz w:val="22"/>
        </w:rPr>
        <w:t xml:space="preserve"> </w:t>
      </w:r>
      <w:r w:rsidR="00FE7C67">
        <w:rPr>
          <w:sz w:val="22"/>
        </w:rPr>
        <w:t xml:space="preserve">collision &amp; restitution- </w:t>
      </w:r>
      <w:r w:rsidR="001C1DED">
        <w:rPr>
          <w:sz w:val="22"/>
        </w:rPr>
        <w:t>CERM</w:t>
      </w:r>
      <w:r w:rsidR="00B611F9">
        <w:rPr>
          <w:sz w:val="22"/>
        </w:rPr>
        <w:t>, 75-6</w:t>
      </w:r>
    </w:p>
    <w:p w:rsidR="00B611F9" w:rsidRDefault="00B611F9">
      <w:pPr>
        <w:rPr>
          <w:sz w:val="22"/>
        </w:rPr>
      </w:pPr>
      <w:r>
        <w:rPr>
          <w:sz w:val="22"/>
        </w:rPr>
        <w:t>Clear Zone – Roadside Design – 3-2</w:t>
      </w:r>
    </w:p>
    <w:p w:rsidR="00B611F9" w:rsidRDefault="00B611F9">
      <w:pPr>
        <w:rPr>
          <w:sz w:val="22"/>
        </w:rPr>
      </w:pPr>
      <w:r>
        <w:rPr>
          <w:sz w:val="22"/>
        </w:rPr>
        <w:t xml:space="preserve">Crash Rates – </w:t>
      </w:r>
      <w:r w:rsidRPr="00B611F9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2-75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Degree of Curves - </w:t>
      </w:r>
      <w:r w:rsidR="001C1DED">
        <w:rPr>
          <w:sz w:val="22"/>
        </w:rPr>
        <w:t>CERM</w:t>
      </w:r>
      <w:r>
        <w:rPr>
          <w:sz w:val="22"/>
        </w:rPr>
        <w:t>, 79-2</w:t>
      </w:r>
    </w:p>
    <w:p w:rsidR="00FE7C67" w:rsidRPr="00B611F9" w:rsidRDefault="00B611F9">
      <w:pPr>
        <w:rPr>
          <w:sz w:val="22"/>
        </w:rPr>
      </w:pPr>
      <w:r>
        <w:rPr>
          <w:sz w:val="22"/>
        </w:rPr>
        <w:t>Delineators, MUTCD, 3-F1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Earthwork Volumes (Prismoidal, Average Area) - </w:t>
      </w:r>
      <w:r w:rsidR="001C1DED">
        <w:rPr>
          <w:sz w:val="22"/>
        </w:rPr>
        <w:t>CERM</w:t>
      </w:r>
      <w:r w:rsidR="00B611F9">
        <w:rPr>
          <w:sz w:val="22"/>
        </w:rPr>
        <w:t>, 80-5</w:t>
      </w:r>
    </w:p>
    <w:p w:rsidR="002740D0" w:rsidRDefault="002740D0">
      <w:pPr>
        <w:rPr>
          <w:sz w:val="22"/>
        </w:rPr>
      </w:pPr>
      <w:r>
        <w:rPr>
          <w:sz w:val="22"/>
        </w:rPr>
        <w:t>Free Flow Speed of 2-lane Highway – HCM, 20-4</w:t>
      </w:r>
    </w:p>
    <w:p w:rsidR="002740D0" w:rsidRPr="001C1DED" w:rsidRDefault="002740D0">
      <w:pPr>
        <w:rPr>
          <w:color w:val="4F6228" w:themeColor="accent3" w:themeShade="80"/>
          <w:sz w:val="22"/>
        </w:rPr>
      </w:pPr>
      <w:r>
        <w:rPr>
          <w:sz w:val="22"/>
        </w:rPr>
        <w:t xml:space="preserve">Free Flow Speed of Multi-Lane Highway – HCM, </w:t>
      </w:r>
      <w:r w:rsidR="00154495">
        <w:rPr>
          <w:sz w:val="22"/>
        </w:rPr>
        <w:t>14</w:t>
      </w:r>
    </w:p>
    <w:p w:rsidR="002740D0" w:rsidRDefault="002740D0">
      <w:pPr>
        <w:rPr>
          <w:sz w:val="22"/>
        </w:rPr>
      </w:pPr>
      <w:r>
        <w:rPr>
          <w:sz w:val="22"/>
        </w:rPr>
        <w:t>Free Flow Sp</w:t>
      </w:r>
      <w:r w:rsidR="00154495">
        <w:rPr>
          <w:sz w:val="22"/>
        </w:rPr>
        <w:t>eed of Basic Freeway – HCM, 11-11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Functional Categories of Roadways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8-10</w:t>
      </w:r>
    </w:p>
    <w:p w:rsidR="002740D0" w:rsidRDefault="002740D0">
      <w:pPr>
        <w:rPr>
          <w:sz w:val="22"/>
        </w:rPr>
      </w:pPr>
      <w:r>
        <w:rPr>
          <w:sz w:val="22"/>
        </w:rPr>
        <w:t>Glossary of Terms – HCM, 5-1</w:t>
      </w:r>
    </w:p>
    <w:p w:rsidR="002740D0" w:rsidRDefault="002740D0">
      <w:pPr>
        <w:rPr>
          <w:sz w:val="22"/>
        </w:rPr>
      </w:pPr>
      <w:r>
        <w:rPr>
          <w:sz w:val="22"/>
        </w:rPr>
        <w:t>Glossary of Terms – MUTCD, 1A-14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Grade Separation should be considered on urban arterial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498</w:t>
      </w:r>
    </w:p>
    <w:p w:rsidR="002740D0" w:rsidRDefault="002740D0">
      <w:pPr>
        <w:rPr>
          <w:i/>
          <w:iCs/>
          <w:sz w:val="22"/>
        </w:rPr>
      </w:pPr>
      <w:r>
        <w:rPr>
          <w:i/>
          <w:iCs/>
          <w:sz w:val="22"/>
        </w:rPr>
        <w:t>Horizontal Curve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Horizontal Curve – </w:t>
      </w:r>
      <w:r w:rsidR="00B611F9">
        <w:rPr>
          <w:sz w:val="22"/>
        </w:rPr>
        <w:t xml:space="preserve">CERM </w:t>
      </w:r>
      <w:r>
        <w:rPr>
          <w:sz w:val="22"/>
        </w:rPr>
        <w:t>79-3</w:t>
      </w:r>
    </w:p>
    <w:p w:rsidR="002740D0" w:rsidRDefault="00B611F9">
      <w:pPr>
        <w:ind w:firstLine="720"/>
        <w:rPr>
          <w:sz w:val="22"/>
        </w:rPr>
      </w:pPr>
      <w:r>
        <w:rPr>
          <w:sz w:val="22"/>
        </w:rPr>
        <w:t>Minimum Curve Length (HSO</w:t>
      </w:r>
      <w:r w:rsidR="002740D0">
        <w:rPr>
          <w:sz w:val="22"/>
        </w:rPr>
        <w:t xml:space="preserve">) - </w:t>
      </w:r>
      <w:r w:rsidR="001C1DED">
        <w:rPr>
          <w:sz w:val="22"/>
        </w:rPr>
        <w:t>CERM</w:t>
      </w:r>
      <w:r>
        <w:rPr>
          <w:sz w:val="22"/>
        </w:rPr>
        <w:t>, 79-11</w:t>
      </w:r>
    </w:p>
    <w:p w:rsidR="00B611F9" w:rsidRDefault="00B611F9">
      <w:pPr>
        <w:ind w:firstLine="720"/>
        <w:rPr>
          <w:sz w:val="22"/>
        </w:rPr>
      </w:pPr>
      <w:r>
        <w:rPr>
          <w:sz w:val="22"/>
        </w:rPr>
        <w:t xml:space="preserve">Compound Horizontal Curves – </w:t>
      </w:r>
      <w:r w:rsidRPr="00B611F9">
        <w:rPr>
          <w:b/>
          <w:color w:val="76923C" w:themeColor="accent3" w:themeShade="BF"/>
          <w:sz w:val="22"/>
        </w:rPr>
        <w:t>GREENBOOK</w:t>
      </w:r>
      <w:r>
        <w:rPr>
          <w:sz w:val="22"/>
        </w:rPr>
        <w:t>, pg 3-83</w:t>
      </w:r>
    </w:p>
    <w:p w:rsidR="002740D0" w:rsidRDefault="002740D0">
      <w:pPr>
        <w:pStyle w:val="Heading1"/>
        <w:rPr>
          <w:sz w:val="22"/>
        </w:rPr>
      </w:pPr>
      <w:r>
        <w:rPr>
          <w:sz w:val="22"/>
        </w:rPr>
        <w:t>Interchanges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Interchanges - </w:t>
      </w:r>
      <w:r w:rsidR="001C1DED">
        <w:rPr>
          <w:sz w:val="22"/>
        </w:rPr>
        <w:t>CERM</w:t>
      </w:r>
      <w:r>
        <w:rPr>
          <w:sz w:val="22"/>
        </w:rPr>
        <w:t>, 74-20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Interchanges and considerations for different interchanges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808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Intersection Sight Distance w/ grade adjustments (Triangle)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9-28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Effect of Skew Intersections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9-54</w:t>
      </w:r>
    </w:p>
    <w:p w:rsidR="00154495" w:rsidRDefault="00154495">
      <w:pPr>
        <w:rPr>
          <w:sz w:val="22"/>
        </w:rPr>
      </w:pPr>
      <w:r>
        <w:rPr>
          <w:sz w:val="22"/>
        </w:rPr>
        <w:t>Intersection Delay HCM 18-56</w:t>
      </w:r>
    </w:p>
    <w:p w:rsidR="00B611F9" w:rsidRDefault="00B611F9">
      <w:pPr>
        <w:rPr>
          <w:sz w:val="22"/>
        </w:rPr>
      </w:pPr>
      <w:r>
        <w:rPr>
          <w:sz w:val="22"/>
        </w:rPr>
        <w:t xml:space="preserve">Impact Attenuators – Crash barrels – Roadside </w:t>
      </w:r>
      <w:proofErr w:type="gramStart"/>
      <w:r>
        <w:rPr>
          <w:sz w:val="22"/>
        </w:rPr>
        <w:t>Design ????</w:t>
      </w:r>
      <w:proofErr w:type="gramEnd"/>
      <w:r w:rsidR="00FE7C67">
        <w:rPr>
          <w:sz w:val="22"/>
        </w:rPr>
        <w:t xml:space="preserve"> &amp; </w:t>
      </w:r>
      <w:r w:rsidR="00FE7C67" w:rsidRPr="00FE7C67">
        <w:rPr>
          <w:b/>
          <w:color w:val="92D050"/>
          <w:sz w:val="22"/>
        </w:rPr>
        <w:t>GREENBOOK</w:t>
      </w:r>
      <w:r w:rsidR="00FE7C67">
        <w:rPr>
          <w:sz w:val="22"/>
        </w:rPr>
        <w:t xml:space="preserve"> 8-28 &amp; 8-29 – Afternoon notes</w:t>
      </w:r>
    </w:p>
    <w:p w:rsidR="002740D0" w:rsidRDefault="002740D0">
      <w:pPr>
        <w:pStyle w:val="Heading1"/>
        <w:rPr>
          <w:sz w:val="22"/>
        </w:rPr>
      </w:pPr>
      <w:r>
        <w:rPr>
          <w:sz w:val="22"/>
        </w:rPr>
        <w:t>LOS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examples in HCM, end of each chapter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LOS Criteria for Basic Freeway (FFS) - </w:t>
      </w:r>
      <w:r w:rsidR="001C1DED">
        <w:rPr>
          <w:sz w:val="22"/>
        </w:rPr>
        <w:t>CERM</w:t>
      </w:r>
      <w:r w:rsidR="00E70361">
        <w:rPr>
          <w:sz w:val="22"/>
        </w:rPr>
        <w:t>, 73-8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LOS Criteria </w:t>
      </w:r>
      <w:r w:rsidR="00154495">
        <w:rPr>
          <w:sz w:val="22"/>
        </w:rPr>
        <w:t>for Basic Freeway – HCM, 11-24, Service Flow rates, service volumes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LOS Criteria for Multilane Highway (FFS) - </w:t>
      </w:r>
      <w:r w:rsidR="001C1DED">
        <w:rPr>
          <w:sz w:val="22"/>
        </w:rPr>
        <w:t>CERM</w:t>
      </w:r>
      <w:r w:rsidR="00E70361">
        <w:rPr>
          <w:sz w:val="22"/>
        </w:rPr>
        <w:t>, 73-10</w:t>
      </w:r>
      <w:r w:rsidR="00154495">
        <w:rPr>
          <w:sz w:val="22"/>
        </w:rPr>
        <w:t>&amp; HCM -14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Inte</w:t>
      </w:r>
      <w:r w:rsidR="00E70361">
        <w:rPr>
          <w:sz w:val="22"/>
        </w:rPr>
        <w:t>rsection (Delay) – HCM, 18-6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Urban Street – HCM, 15-3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Two-way Stop – HCM, 17-2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All-way Stop – HCM, 17-32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Weaving Freeway – HCM, 24-3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LOS of Pedestrian on Sidewalk - </w:t>
      </w:r>
      <w:r w:rsidR="001C1DED">
        <w:rPr>
          <w:sz w:val="22"/>
        </w:rPr>
        <w:t>CERM</w:t>
      </w:r>
      <w:r>
        <w:rPr>
          <w:sz w:val="22"/>
        </w:rPr>
        <w:t>, 74-17</w:t>
      </w:r>
      <w:proofErr w:type="gramStart"/>
      <w:r>
        <w:rPr>
          <w:sz w:val="22"/>
        </w:rPr>
        <w:t>,18</w:t>
      </w:r>
      <w:proofErr w:type="gramEnd"/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LOS of Pedestrian on Sidewalk (Text) </w:t>
      </w:r>
      <w:r w:rsidRPr="001C1DED">
        <w:rPr>
          <w:b/>
          <w:color w:val="76923C" w:themeColor="accent3" w:themeShade="BF"/>
          <w:sz w:val="22"/>
        </w:rPr>
        <w:t xml:space="preserve">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98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of Pedestrian Walkway (Picture) – HCM, 11-9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</w:t>
      </w:r>
      <w:r w:rsidR="00154495">
        <w:rPr>
          <w:sz w:val="22"/>
        </w:rPr>
        <w:t>OS for Walkway (</w:t>
      </w:r>
      <w:proofErr w:type="spellStart"/>
      <w:r w:rsidR="00154495">
        <w:rPr>
          <w:sz w:val="22"/>
        </w:rPr>
        <w:t>Ped</w:t>
      </w:r>
      <w:proofErr w:type="spellEnd"/>
      <w:r w:rsidR="00154495">
        <w:rPr>
          <w:sz w:val="22"/>
        </w:rPr>
        <w:t>) – HCM, 23-9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for Pl</w:t>
      </w:r>
      <w:r w:rsidR="00154495">
        <w:rPr>
          <w:sz w:val="22"/>
        </w:rPr>
        <w:t>atoon Walkway (</w:t>
      </w:r>
      <w:proofErr w:type="spellStart"/>
      <w:r w:rsidR="00154495">
        <w:rPr>
          <w:sz w:val="22"/>
        </w:rPr>
        <w:t>Ped</w:t>
      </w:r>
      <w:proofErr w:type="spellEnd"/>
      <w:proofErr w:type="gramStart"/>
      <w:r w:rsidR="00154495">
        <w:rPr>
          <w:sz w:val="22"/>
        </w:rPr>
        <w:t>)  –</w:t>
      </w:r>
      <w:proofErr w:type="gramEnd"/>
      <w:r w:rsidR="00154495">
        <w:rPr>
          <w:sz w:val="22"/>
        </w:rPr>
        <w:t xml:space="preserve"> HCM, 23-9</w:t>
      </w:r>
    </w:p>
    <w:p w:rsidR="002740D0" w:rsidRDefault="00154495">
      <w:pPr>
        <w:ind w:firstLine="720"/>
        <w:rPr>
          <w:sz w:val="22"/>
        </w:rPr>
      </w:pPr>
      <w:r>
        <w:rPr>
          <w:sz w:val="22"/>
        </w:rPr>
        <w:t>LOS for Stairs (</w:t>
      </w:r>
      <w:proofErr w:type="spellStart"/>
      <w:r>
        <w:rPr>
          <w:sz w:val="22"/>
        </w:rPr>
        <w:t>Ped</w:t>
      </w:r>
      <w:proofErr w:type="spellEnd"/>
      <w:r>
        <w:rPr>
          <w:sz w:val="22"/>
        </w:rPr>
        <w:t>) – HCM, 23-10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for queuing area (Ped) – HCM, 18-6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for Ped. @ Signalized Intersection – HCM, 18-8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LOS for Ped. @ Unsignalized Intersection – HCM, 18-15</w:t>
      </w:r>
    </w:p>
    <w:p w:rsidR="002740D0" w:rsidRDefault="002740D0">
      <w:pPr>
        <w:pStyle w:val="Heading2"/>
        <w:rPr>
          <w:sz w:val="22"/>
        </w:rPr>
      </w:pPr>
      <w:r>
        <w:rPr>
          <w:sz w:val="22"/>
        </w:rPr>
        <w:t>Max Grades and Min Design Grades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Local Rural Roads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5-3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Rural Collector Roads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6-3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Urban Collectors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Pr="001C1DED">
        <w:rPr>
          <w:b/>
          <w:color w:val="76923C" w:themeColor="accent3" w:themeShade="BF"/>
          <w:sz w:val="22"/>
        </w:rPr>
        <w:t>,</w:t>
      </w:r>
      <w:r w:rsidR="00E70361">
        <w:rPr>
          <w:sz w:val="22"/>
        </w:rPr>
        <w:t xml:space="preserve"> pg 6-12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Rural Arterials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7-4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Urban Arterials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7-29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Freeway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Pr="001C1DED">
        <w:rPr>
          <w:b/>
          <w:color w:val="76923C" w:themeColor="accent3" w:themeShade="BF"/>
          <w:sz w:val="22"/>
        </w:rPr>
        <w:t>,</w:t>
      </w:r>
      <w:r w:rsidR="00E70361">
        <w:rPr>
          <w:sz w:val="22"/>
        </w:rPr>
        <w:t xml:space="preserve"> pg 8-4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Noise Reduction Design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4-41</w:t>
      </w:r>
    </w:p>
    <w:p w:rsidR="00E70361" w:rsidRDefault="00E70361">
      <w:pPr>
        <w:rPr>
          <w:sz w:val="22"/>
        </w:rPr>
      </w:pPr>
      <w:r>
        <w:rPr>
          <w:sz w:val="22"/>
        </w:rPr>
        <w:t>Parking Stalls – CERM 73-21</w:t>
      </w:r>
    </w:p>
    <w:p w:rsidR="002740D0" w:rsidRDefault="002740D0">
      <w:pPr>
        <w:rPr>
          <w:sz w:val="22"/>
        </w:rPr>
      </w:pPr>
      <w:r>
        <w:rPr>
          <w:sz w:val="22"/>
        </w:rPr>
        <w:lastRenderedPageBreak/>
        <w:t xml:space="preserve">Passenger Car </w:t>
      </w:r>
      <w:proofErr w:type="gramStart"/>
      <w:r>
        <w:rPr>
          <w:sz w:val="22"/>
        </w:rPr>
        <w:t>Equivalent  -</w:t>
      </w:r>
      <w:proofErr w:type="gramEnd"/>
      <w:r>
        <w:rPr>
          <w:sz w:val="22"/>
        </w:rPr>
        <w:t xml:space="preserve"> </w:t>
      </w:r>
      <w:r w:rsidR="001C1DED">
        <w:rPr>
          <w:sz w:val="22"/>
        </w:rPr>
        <w:t>CERM</w:t>
      </w:r>
      <w:r>
        <w:rPr>
          <w:sz w:val="22"/>
        </w:rPr>
        <w:t>, 74-7</w:t>
      </w:r>
    </w:p>
    <w:p w:rsidR="002740D0" w:rsidRDefault="002740D0">
      <w:pPr>
        <w:rPr>
          <w:sz w:val="22"/>
        </w:rPr>
      </w:pPr>
      <w:r>
        <w:rPr>
          <w:sz w:val="22"/>
        </w:rPr>
        <w:t>Passenger Eq. For Grade and Length of HV – HCM, 20-15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Passing Sight Distance for a two lane Highway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3-9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Passing Sight Distance </w:t>
      </w:r>
      <w:r w:rsidR="00E70361">
        <w:rPr>
          <w:sz w:val="22"/>
        </w:rPr>
        <w:t>–Vertical Curve</w:t>
      </w:r>
      <w:r>
        <w:rPr>
          <w:sz w:val="22"/>
        </w:rPr>
        <w:t xml:space="preserve">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3-9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Pavement Design (Flexible) - </w:t>
      </w:r>
      <w:r w:rsidR="001C1DED">
        <w:rPr>
          <w:sz w:val="22"/>
        </w:rPr>
        <w:t>CERM</w:t>
      </w:r>
      <w:r w:rsidR="00E70361">
        <w:rPr>
          <w:sz w:val="22"/>
        </w:rPr>
        <w:t>, 76-17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Pavement Design (Rigid) - </w:t>
      </w:r>
      <w:r w:rsidR="001C1DED">
        <w:rPr>
          <w:sz w:val="22"/>
        </w:rPr>
        <w:t>CERM</w:t>
      </w:r>
      <w:r w:rsidR="00E70361">
        <w:rPr>
          <w:sz w:val="22"/>
        </w:rPr>
        <w:t>, 77-8</w:t>
      </w:r>
    </w:p>
    <w:p w:rsidR="002740D0" w:rsidRDefault="002740D0">
      <w:pPr>
        <w:rPr>
          <w:sz w:val="22"/>
        </w:rPr>
      </w:pPr>
      <w:r>
        <w:rPr>
          <w:sz w:val="22"/>
        </w:rPr>
        <w:t>Pavement Marking Applications, Typical – MUTCD, 3B-25</w:t>
      </w:r>
    </w:p>
    <w:p w:rsidR="00E70361" w:rsidRDefault="00E70361">
      <w:pPr>
        <w:rPr>
          <w:sz w:val="22"/>
        </w:rPr>
      </w:pPr>
      <w:r>
        <w:rPr>
          <w:sz w:val="22"/>
        </w:rPr>
        <w:t xml:space="preserve">Pavement Width – </w:t>
      </w:r>
      <w:r w:rsidRPr="00E70361">
        <w:rPr>
          <w:b/>
          <w:color w:val="76923C" w:themeColor="accent3" w:themeShade="BF"/>
          <w:sz w:val="22"/>
        </w:rPr>
        <w:t>GREEN BOOK,</w:t>
      </w:r>
      <w:r>
        <w:rPr>
          <w:sz w:val="22"/>
        </w:rPr>
        <w:t xml:space="preserve"> pg 3-103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Pedestrian Flow Rate, </w:t>
      </w:r>
      <w:r w:rsidR="001C1DED">
        <w:rPr>
          <w:sz w:val="22"/>
        </w:rPr>
        <w:t>CERM</w:t>
      </w:r>
      <w:r>
        <w:rPr>
          <w:sz w:val="22"/>
        </w:rPr>
        <w:t>, 74-17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Principles for Acceptable Degrees of Congestion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78</w:t>
      </w:r>
    </w:p>
    <w:p w:rsidR="00154495" w:rsidRDefault="00154495">
      <w:pPr>
        <w:rPr>
          <w:sz w:val="22"/>
        </w:rPr>
      </w:pPr>
      <w:r>
        <w:rPr>
          <w:sz w:val="22"/>
        </w:rPr>
        <w:t xml:space="preserve">Railroad </w:t>
      </w:r>
      <w:r w:rsidR="00FE7C67" w:rsidRPr="00E70361">
        <w:rPr>
          <w:b/>
          <w:color w:val="76923C" w:themeColor="accent3" w:themeShade="BF"/>
          <w:sz w:val="22"/>
        </w:rPr>
        <w:t>GREEN BOOK</w:t>
      </w:r>
      <w:r w:rsidR="00FE7C67">
        <w:rPr>
          <w:sz w:val="22"/>
        </w:rPr>
        <w:t xml:space="preserve"> </w:t>
      </w:r>
      <w:r>
        <w:rPr>
          <w:sz w:val="22"/>
        </w:rPr>
        <w:t>9-</w:t>
      </w:r>
      <w:proofErr w:type="gramStart"/>
      <w:r>
        <w:rPr>
          <w:sz w:val="22"/>
        </w:rPr>
        <w:t>128 ?</w:t>
      </w:r>
      <w:proofErr w:type="gramEnd"/>
    </w:p>
    <w:p w:rsidR="00E70361" w:rsidRDefault="00E70361">
      <w:pPr>
        <w:rPr>
          <w:sz w:val="22"/>
        </w:rPr>
      </w:pPr>
      <w:r>
        <w:rPr>
          <w:sz w:val="22"/>
        </w:rPr>
        <w:t xml:space="preserve">Ramp Spacing, </w:t>
      </w:r>
      <w:r w:rsidRPr="00E70361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10-106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Reaction Time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50</w:t>
      </w:r>
    </w:p>
    <w:p w:rsidR="00E70361" w:rsidRDefault="00E70361">
      <w:pPr>
        <w:rPr>
          <w:sz w:val="22"/>
        </w:rPr>
      </w:pPr>
      <w:r>
        <w:rPr>
          <w:sz w:val="22"/>
        </w:rPr>
        <w:t xml:space="preserve">Roundabouts – </w:t>
      </w:r>
      <w:r w:rsidRPr="00E70361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9-169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Saturation Flow Rate (Intersection) – </w:t>
      </w:r>
      <w:r w:rsidR="001C1DED">
        <w:rPr>
          <w:sz w:val="22"/>
        </w:rPr>
        <w:t>CERM</w:t>
      </w:r>
      <w:r>
        <w:rPr>
          <w:sz w:val="22"/>
        </w:rPr>
        <w:t>, 74-13</w:t>
      </w:r>
    </w:p>
    <w:p w:rsidR="002740D0" w:rsidRDefault="002740D0">
      <w:pPr>
        <w:rPr>
          <w:sz w:val="22"/>
        </w:rPr>
      </w:pPr>
      <w:r>
        <w:rPr>
          <w:sz w:val="22"/>
        </w:rPr>
        <w:t>Saturation Flow Rate (Intersection) – HCM, 16-9,10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Sight Distance for Rail Road Crossing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9-187</w:t>
      </w:r>
    </w:p>
    <w:p w:rsidR="002740D0" w:rsidRDefault="002740D0">
      <w:pPr>
        <w:pStyle w:val="Heading2"/>
        <w:rPr>
          <w:sz w:val="22"/>
        </w:rPr>
      </w:pPr>
      <w:r>
        <w:rPr>
          <w:sz w:val="22"/>
        </w:rPr>
        <w:t>Signs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Sign Colors uses – MUTCD, 2A-9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Sign Shapes uses – MUTCD, 2A-7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Sign Heights and Lateral Locations – MUTCD, 2A-12, 2A-21, 22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Warning Sign Placement – MUTCD, 2C-7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>Min Letter size for Exwy and Freeway Guide Signs – MUTCD, 2E-13-15</w:t>
      </w:r>
    </w:p>
    <w:p w:rsidR="002740D0" w:rsidRDefault="002740D0">
      <w:pPr>
        <w:pStyle w:val="Heading1"/>
        <w:rPr>
          <w:sz w:val="22"/>
        </w:rPr>
      </w:pPr>
      <w:r>
        <w:rPr>
          <w:sz w:val="22"/>
        </w:rPr>
        <w:t>Signal</w:t>
      </w:r>
      <w:r w:rsidR="00FE7C67">
        <w:rPr>
          <w:sz w:val="22"/>
        </w:rPr>
        <w:t xml:space="preserve"> – All in Afternoon notes!</w:t>
      </w:r>
    </w:p>
    <w:p w:rsidR="00154495" w:rsidRDefault="002740D0">
      <w:pPr>
        <w:rPr>
          <w:sz w:val="22"/>
        </w:rPr>
      </w:pPr>
      <w:r>
        <w:rPr>
          <w:sz w:val="22"/>
        </w:rPr>
        <w:tab/>
      </w:r>
      <w:r w:rsidR="00154495">
        <w:rPr>
          <w:sz w:val="22"/>
        </w:rPr>
        <w:t>Storage Length –</w:t>
      </w:r>
      <w:r w:rsidR="00FE7C67">
        <w:rPr>
          <w:sz w:val="22"/>
        </w:rPr>
        <w:t xml:space="preserve"> afternoon</w:t>
      </w:r>
      <w:r w:rsidR="00154495">
        <w:rPr>
          <w:sz w:val="22"/>
        </w:rPr>
        <w:t xml:space="preserve"> notes – Additional info</w:t>
      </w:r>
    </w:p>
    <w:p w:rsidR="002740D0" w:rsidRDefault="002740D0" w:rsidP="00154495">
      <w:pPr>
        <w:ind w:firstLine="720"/>
        <w:rPr>
          <w:sz w:val="22"/>
        </w:rPr>
      </w:pPr>
      <w:r>
        <w:rPr>
          <w:sz w:val="22"/>
        </w:rPr>
        <w:t xml:space="preserve">Volume to Saturation Flow Ratio - </w:t>
      </w:r>
      <w:r w:rsidR="001C1DED">
        <w:rPr>
          <w:sz w:val="22"/>
        </w:rPr>
        <w:t>CERM</w:t>
      </w:r>
      <w:r>
        <w:rPr>
          <w:sz w:val="22"/>
        </w:rPr>
        <w:t>, 74-13</w:t>
      </w:r>
    </w:p>
    <w:p w:rsidR="002740D0" w:rsidRDefault="002740D0" w:rsidP="00154495">
      <w:pPr>
        <w:ind w:firstLine="720"/>
        <w:rPr>
          <w:sz w:val="22"/>
        </w:rPr>
      </w:pPr>
      <w:r>
        <w:rPr>
          <w:sz w:val="22"/>
        </w:rPr>
        <w:t xml:space="preserve">Optimum Green Time - </w:t>
      </w:r>
      <w:r w:rsidR="001C1DED">
        <w:rPr>
          <w:sz w:val="22"/>
        </w:rPr>
        <w:t>CERM</w:t>
      </w:r>
      <w:r>
        <w:rPr>
          <w:sz w:val="22"/>
        </w:rPr>
        <w:t>, 74-13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Saturation Flow Rate for Intersection, </w:t>
      </w:r>
      <w:r w:rsidR="00FE7C67">
        <w:rPr>
          <w:sz w:val="22"/>
        </w:rPr>
        <w:t xml:space="preserve">CERM </w:t>
      </w:r>
      <w:r>
        <w:rPr>
          <w:sz w:val="22"/>
        </w:rPr>
        <w:t>74-13</w:t>
      </w:r>
      <w:r w:rsidR="00FE7C67">
        <w:rPr>
          <w:sz w:val="22"/>
        </w:rPr>
        <w:t xml:space="preserve"> 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>Cycl</w:t>
      </w:r>
      <w:r w:rsidR="00FE7C67">
        <w:rPr>
          <w:sz w:val="22"/>
        </w:rPr>
        <w:t>e Length Estimation – HCM, 18-17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Green Time </w:t>
      </w:r>
      <w:proofErr w:type="spellStart"/>
      <w:proofErr w:type="gramStart"/>
      <w:r>
        <w:rPr>
          <w:sz w:val="22"/>
        </w:rPr>
        <w:t>Est</w:t>
      </w:r>
      <w:proofErr w:type="spellEnd"/>
      <w:proofErr w:type="gramEnd"/>
      <w:r w:rsidR="00FE7C67">
        <w:rPr>
          <w:sz w:val="22"/>
        </w:rPr>
        <w:t xml:space="preserve"> – </w:t>
      </w:r>
      <w:proofErr w:type="spellStart"/>
      <w:r w:rsidR="00FE7C67">
        <w:rPr>
          <w:sz w:val="22"/>
        </w:rPr>
        <w:t>Peds</w:t>
      </w:r>
      <w:proofErr w:type="spellEnd"/>
      <w:r w:rsidR="00FE7C67">
        <w:rPr>
          <w:sz w:val="22"/>
        </w:rPr>
        <w:t>. – HCM, 18-67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Spiral Transition, Min and Max Radius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179-180</w:t>
      </w:r>
    </w:p>
    <w:p w:rsidR="002740D0" w:rsidRDefault="002740D0">
      <w:pPr>
        <w:rPr>
          <w:sz w:val="22"/>
        </w:rPr>
      </w:pPr>
      <w:r>
        <w:rPr>
          <w:sz w:val="22"/>
        </w:rPr>
        <w:t>Stopping Sight Distance</w:t>
      </w:r>
      <w:r w:rsidR="00E70361">
        <w:rPr>
          <w:sz w:val="22"/>
        </w:rPr>
        <w:t>, Vertical Curve</w:t>
      </w:r>
      <w:r>
        <w:rPr>
          <w:sz w:val="22"/>
        </w:rPr>
        <w:t xml:space="preserve"> - </w:t>
      </w:r>
      <w:r w:rsidR="001C1DED">
        <w:rPr>
          <w:sz w:val="22"/>
        </w:rPr>
        <w:t>CERM</w:t>
      </w:r>
      <w:r w:rsidR="00E70361">
        <w:rPr>
          <w:sz w:val="22"/>
        </w:rPr>
        <w:t>, 79-14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Stopping Sight Distance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3-5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Stopping Sight Dist. &amp; Decision Sight Dist. (react time &amp; decel. rate)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pg 3-7</w:t>
      </w:r>
    </w:p>
    <w:p w:rsidR="002740D0" w:rsidRDefault="002740D0">
      <w:pPr>
        <w:rPr>
          <w:sz w:val="22"/>
        </w:rPr>
      </w:pPr>
      <w:proofErr w:type="spellStart"/>
      <w:r>
        <w:rPr>
          <w:sz w:val="22"/>
        </w:rPr>
        <w:t>Superelevation</w:t>
      </w:r>
      <w:proofErr w:type="spellEnd"/>
      <w:r>
        <w:rPr>
          <w:sz w:val="22"/>
        </w:rPr>
        <w:t xml:space="preserve"> - </w:t>
      </w:r>
      <w:r w:rsidR="001C1DED">
        <w:rPr>
          <w:sz w:val="22"/>
        </w:rPr>
        <w:t>CERM</w:t>
      </w:r>
      <w:r>
        <w:rPr>
          <w:sz w:val="22"/>
        </w:rPr>
        <w:t>, 79-7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Superelevation, method for attaining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78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Superelevation in horizontal curve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131 &amp; 195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Superelevation, min radius for &amp; max super for a radius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 w:rsidR="00E70361">
        <w:rPr>
          <w:sz w:val="22"/>
        </w:rPr>
        <w:t>, 3-33</w:t>
      </w:r>
    </w:p>
    <w:p w:rsidR="002740D0" w:rsidRDefault="002740D0">
      <w:pPr>
        <w:rPr>
          <w:sz w:val="22"/>
        </w:rPr>
      </w:pPr>
      <w:proofErr w:type="spellStart"/>
      <w:r>
        <w:rPr>
          <w:sz w:val="22"/>
        </w:rPr>
        <w:t>Superelevation</w:t>
      </w:r>
      <w:proofErr w:type="spellEnd"/>
      <w:r>
        <w:rPr>
          <w:sz w:val="22"/>
        </w:rPr>
        <w:t xml:space="preserve"> Runoff &amp; </w:t>
      </w:r>
      <w:proofErr w:type="spellStart"/>
      <w:r>
        <w:rPr>
          <w:sz w:val="22"/>
        </w:rPr>
        <w:t>Runout</w:t>
      </w:r>
      <w:proofErr w:type="spellEnd"/>
      <w:r>
        <w:rPr>
          <w:sz w:val="22"/>
        </w:rPr>
        <w:t xml:space="preserve">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170-173</w:t>
      </w:r>
    </w:p>
    <w:p w:rsidR="002740D0" w:rsidRDefault="002740D0">
      <w:pPr>
        <w:rPr>
          <w:sz w:val="22"/>
        </w:rPr>
      </w:pPr>
      <w:r>
        <w:rPr>
          <w:sz w:val="22"/>
        </w:rPr>
        <w:t>Taper Lengths – MUTCD, 3B-8</w:t>
      </w:r>
    </w:p>
    <w:p w:rsidR="002740D0" w:rsidRDefault="002740D0">
      <w:pPr>
        <w:rPr>
          <w:sz w:val="22"/>
        </w:rPr>
      </w:pPr>
      <w:r>
        <w:rPr>
          <w:sz w:val="22"/>
        </w:rPr>
        <w:t>Temporary Taper Lengths – MUTCD, 6C-8-10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Taper Lengths, MOT - </w:t>
      </w:r>
      <w:r w:rsidR="001C1DED">
        <w:rPr>
          <w:sz w:val="22"/>
        </w:rPr>
        <w:t>CERM</w:t>
      </w:r>
      <w:r>
        <w:rPr>
          <w:sz w:val="22"/>
        </w:rPr>
        <w:t>, 74-25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Trip Generation – </w:t>
      </w:r>
      <w:r w:rsidR="001C1DED">
        <w:rPr>
          <w:sz w:val="22"/>
        </w:rPr>
        <w:t>CERM</w:t>
      </w:r>
      <w:r>
        <w:rPr>
          <w:sz w:val="22"/>
        </w:rPr>
        <w:t xml:space="preserve">, 74-5 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Utilization Factor, Queuing Model – </w:t>
      </w:r>
      <w:r w:rsidR="001C1DED">
        <w:rPr>
          <w:sz w:val="22"/>
        </w:rPr>
        <w:t>CERM</w:t>
      </w:r>
      <w:r>
        <w:rPr>
          <w:sz w:val="22"/>
        </w:rPr>
        <w:t>, 74-23</w:t>
      </w:r>
    </w:p>
    <w:p w:rsidR="002740D0" w:rsidRDefault="002740D0">
      <w:pPr>
        <w:rPr>
          <w:sz w:val="22"/>
        </w:rPr>
      </w:pPr>
      <w:r>
        <w:rPr>
          <w:sz w:val="22"/>
        </w:rPr>
        <w:t xml:space="preserve">Vehicle Speed with air Resistance &amp; Grade Change - </w:t>
      </w:r>
      <w:r w:rsidR="001C1DED">
        <w:rPr>
          <w:sz w:val="22"/>
        </w:rPr>
        <w:t>CERM</w:t>
      </w:r>
      <w:r>
        <w:rPr>
          <w:sz w:val="22"/>
        </w:rPr>
        <w:t>, 75-3</w:t>
      </w:r>
    </w:p>
    <w:p w:rsidR="002740D0" w:rsidRDefault="002740D0">
      <w:pPr>
        <w:pStyle w:val="Heading1"/>
        <w:rPr>
          <w:sz w:val="22"/>
        </w:rPr>
      </w:pPr>
      <w:r>
        <w:rPr>
          <w:sz w:val="22"/>
        </w:rPr>
        <w:t>Vertical Curve</w:t>
      </w:r>
    </w:p>
    <w:p w:rsidR="002740D0" w:rsidRDefault="002740D0">
      <w:pPr>
        <w:rPr>
          <w:sz w:val="22"/>
        </w:rPr>
      </w:pPr>
      <w:r>
        <w:rPr>
          <w:i/>
          <w:iCs/>
          <w:sz w:val="22"/>
        </w:rPr>
        <w:tab/>
      </w:r>
      <w:r>
        <w:rPr>
          <w:sz w:val="22"/>
        </w:rPr>
        <w:t xml:space="preserve">Vertical Curve - </w:t>
      </w:r>
      <w:r w:rsidR="001C1DED">
        <w:rPr>
          <w:sz w:val="22"/>
        </w:rPr>
        <w:t>CERM</w:t>
      </w:r>
      <w:r>
        <w:rPr>
          <w:sz w:val="22"/>
        </w:rPr>
        <w:t>, 79-10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Minimum Curve Length (Vertical) - </w:t>
      </w:r>
      <w:r w:rsidR="001C1DED">
        <w:rPr>
          <w:sz w:val="22"/>
        </w:rPr>
        <w:t>CERM</w:t>
      </w:r>
      <w:r>
        <w:rPr>
          <w:sz w:val="22"/>
        </w:rPr>
        <w:t>, 79-13</w:t>
      </w:r>
    </w:p>
    <w:p w:rsidR="002740D0" w:rsidRDefault="002740D0">
      <w:pPr>
        <w:ind w:firstLine="720"/>
        <w:rPr>
          <w:sz w:val="22"/>
        </w:rPr>
      </w:pPr>
      <w:r>
        <w:rPr>
          <w:sz w:val="22"/>
        </w:rPr>
        <w:t xml:space="preserve">Vertical Curve Length to provide Sight Distance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271-272</w:t>
      </w:r>
    </w:p>
    <w:p w:rsidR="002740D0" w:rsidRDefault="002740D0">
      <w:pPr>
        <w:pStyle w:val="Heading2"/>
        <w:rPr>
          <w:sz w:val="22"/>
        </w:rPr>
      </w:pPr>
      <w:r>
        <w:rPr>
          <w:sz w:val="22"/>
        </w:rPr>
        <w:t>Warrants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 xml:space="preserve">For interchanges and grade separations – </w:t>
      </w:r>
      <w:r w:rsidR="001C1DED" w:rsidRPr="001C1DED">
        <w:rPr>
          <w:b/>
          <w:color w:val="76923C" w:themeColor="accent3" w:themeShade="BF"/>
          <w:sz w:val="22"/>
        </w:rPr>
        <w:t>GREEN BOOK</w:t>
      </w:r>
      <w:r>
        <w:rPr>
          <w:sz w:val="22"/>
        </w:rPr>
        <w:t>, pg 749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>Signal Warrants – MUTCD, 4C-1</w:t>
      </w:r>
    </w:p>
    <w:p w:rsidR="002740D0" w:rsidRDefault="002740D0">
      <w:pPr>
        <w:pStyle w:val="Heading1"/>
        <w:rPr>
          <w:sz w:val="22"/>
        </w:rPr>
      </w:pPr>
      <w:r>
        <w:rPr>
          <w:sz w:val="22"/>
        </w:rPr>
        <w:t>Weaving</w:t>
      </w:r>
    </w:p>
    <w:p w:rsidR="002740D0" w:rsidRDefault="002740D0">
      <w:pPr>
        <w:rPr>
          <w:sz w:val="22"/>
        </w:rPr>
      </w:pPr>
      <w:r>
        <w:rPr>
          <w:i/>
          <w:iCs/>
          <w:sz w:val="22"/>
        </w:rPr>
        <w:tab/>
      </w:r>
      <w:r>
        <w:rPr>
          <w:sz w:val="22"/>
        </w:rPr>
        <w:t xml:space="preserve">Weaving - </w:t>
      </w:r>
      <w:r w:rsidR="001C1DED">
        <w:rPr>
          <w:sz w:val="22"/>
        </w:rPr>
        <w:t>CERM</w:t>
      </w:r>
      <w:r>
        <w:rPr>
          <w:sz w:val="22"/>
        </w:rPr>
        <w:t>, 74-22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>Weaving Intensity – HCM, 24-7</w:t>
      </w:r>
    </w:p>
    <w:p w:rsidR="002740D0" w:rsidRDefault="002740D0">
      <w:pPr>
        <w:rPr>
          <w:sz w:val="22"/>
        </w:rPr>
      </w:pPr>
      <w:r>
        <w:rPr>
          <w:sz w:val="22"/>
        </w:rPr>
        <w:tab/>
        <w:t>Weaving Segment Speed – HCM, 24-8</w:t>
      </w:r>
    </w:p>
    <w:sectPr w:rsidR="002740D0" w:rsidSect="004F3A7C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D00D1A"/>
    <w:rsid w:val="00154495"/>
    <w:rsid w:val="001C1DED"/>
    <w:rsid w:val="002740D0"/>
    <w:rsid w:val="002D2B05"/>
    <w:rsid w:val="004F3A7C"/>
    <w:rsid w:val="009B28CC"/>
    <w:rsid w:val="00B611F9"/>
    <w:rsid w:val="00D00D1A"/>
    <w:rsid w:val="00E70361"/>
    <w:rsid w:val="00EC399E"/>
    <w:rsid w:val="00FE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CC"/>
    <w:rPr>
      <w:sz w:val="24"/>
      <w:szCs w:val="24"/>
    </w:rPr>
  </w:style>
  <w:style w:type="paragraph" w:styleId="Heading1">
    <w:name w:val="heading 1"/>
    <w:basedOn w:val="Normal"/>
    <w:next w:val="Normal"/>
    <w:qFormat/>
    <w:rsid w:val="009B28CC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9B28CC"/>
    <w:pPr>
      <w:keepNext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B28CC"/>
    <w:pPr>
      <w:jc w:val="center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EF09-D257-493D-A8C3-4C1CD768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– TABLE OF CONTENTS</vt:lpstr>
    </vt:vector>
  </TitlesOfParts>
  <Company>DOTE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– TABLE OF CONTENTS</dc:title>
  <dc:creator>DOTE</dc:creator>
  <cp:lastModifiedBy>sperrino</cp:lastModifiedBy>
  <cp:revision>5</cp:revision>
  <cp:lastPrinted>2014-10-23T16:35:00Z</cp:lastPrinted>
  <dcterms:created xsi:type="dcterms:W3CDTF">2014-03-25T20:03:00Z</dcterms:created>
  <dcterms:modified xsi:type="dcterms:W3CDTF">2014-10-23T16:37:00Z</dcterms:modified>
</cp:coreProperties>
</file>