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EDDC" w14:textId="1D96B0B3" w:rsidR="007406E7" w:rsidRPr="002A092D" w:rsidRDefault="003B3976" w:rsidP="00800A76">
      <w:pPr>
        <w:pStyle w:val="Title"/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</w:pPr>
      <w:r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>1st</w:t>
      </w:r>
      <w:r w:rsidR="004B58EB"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 xml:space="preserve"> HALF 202</w:t>
      </w:r>
      <w:r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>6</w:t>
      </w:r>
      <w:r w:rsidR="007406E7"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 xml:space="preserve"> </w:t>
      </w:r>
      <w:r w:rsidR="00501090"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>Concrete</w:t>
      </w:r>
      <w:r w:rsidR="007406E7"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 xml:space="preserve"> Specifications</w:t>
      </w:r>
    </w:p>
    <w:p w14:paraId="1D33D94E" w14:textId="6FD1FACF" w:rsidR="00467F45" w:rsidRPr="002A092D" w:rsidRDefault="007406E7" w:rsidP="00800A76">
      <w:pPr>
        <w:pStyle w:val="Title"/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</w:pPr>
      <w:r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 xml:space="preserve">For </w:t>
      </w:r>
      <w:r w:rsidR="003B3976"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 xml:space="preserve">January 16, </w:t>
      </w:r>
      <w:proofErr w:type="gramStart"/>
      <w:r w:rsidR="003B3976"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>2026</w:t>
      </w:r>
      <w:proofErr w:type="gramEnd"/>
      <w:r w:rsidR="00501090"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 xml:space="preserve"> </w:t>
      </w:r>
      <w:r w:rsidRPr="002A092D">
        <w:rPr>
          <w:rFonts w:ascii="Times New Roman" w:eastAsia="Times New Roman" w:hAnsi="Times New Roman" w:cstheme="minorHAnsi"/>
          <w:bCs/>
          <w:spacing w:val="0"/>
          <w:kern w:val="0"/>
          <w:sz w:val="24"/>
          <w:szCs w:val="24"/>
        </w:rPr>
        <w:t>SS800 Posting</w:t>
      </w:r>
    </w:p>
    <w:p w14:paraId="6A7A101A" w14:textId="77777777" w:rsidR="00CC6DA5" w:rsidRPr="002A092D" w:rsidRDefault="00CC6DA5" w:rsidP="00B92BE1">
      <w:pPr>
        <w:spacing w:after="0"/>
        <w:rPr>
          <w:rFonts w:ascii="Times New Roman" w:hAnsi="Times New Roman" w:cs="Times New Roman"/>
          <w:b/>
          <w:highlight w:val="green"/>
        </w:rPr>
      </w:pPr>
      <w:bookmarkStart w:id="0" w:name="_Hlk137730001"/>
    </w:p>
    <w:p w14:paraId="118942D9" w14:textId="14B4785C" w:rsidR="00B92BE1" w:rsidRPr="00C83BDE" w:rsidRDefault="00B92BE1" w:rsidP="00B92BE1">
      <w:pPr>
        <w:spacing w:after="0"/>
        <w:rPr>
          <w:rFonts w:ascii="Times New Roman" w:hAnsi="Times New Roman" w:cs="Times New Roman"/>
          <w:b/>
          <w:highlight w:val="yellow"/>
        </w:rPr>
      </w:pPr>
      <w:r w:rsidRPr="00C83BDE">
        <w:rPr>
          <w:rFonts w:ascii="Times New Roman" w:hAnsi="Times New Roman" w:cs="Times New Roman"/>
          <w:b/>
          <w:highlight w:val="yellow"/>
        </w:rPr>
        <w:t>For the 2023 C&amp;MS – Provide the following updates:</w:t>
      </w:r>
    </w:p>
    <w:bookmarkEnd w:id="0"/>
    <w:p w14:paraId="3C592AF4" w14:textId="5B6836B5" w:rsidR="003B3976" w:rsidRDefault="003B3976" w:rsidP="00F5707C">
      <w:pPr>
        <w:spacing w:after="0"/>
        <w:rPr>
          <w:b/>
          <w:highlight w:val="yellow"/>
        </w:rPr>
      </w:pPr>
    </w:p>
    <w:p w14:paraId="48B972D5" w14:textId="77777777" w:rsidR="00520D57" w:rsidRPr="00520D57" w:rsidRDefault="00520D57" w:rsidP="0052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57">
        <w:rPr>
          <w:rFonts w:ascii="Times New Roman" w:eastAsia="Times New Roman" w:hAnsi="Times New Roman" w:cs="Times New Roman"/>
          <w:b/>
          <w:sz w:val="24"/>
          <w:szCs w:val="24"/>
        </w:rPr>
        <w:t>455.02</w:t>
      </w:r>
    </w:p>
    <w:p w14:paraId="2DCC5243" w14:textId="6FD3E66C" w:rsidR="004A7E95" w:rsidRPr="00520D57" w:rsidRDefault="007F42FA" w:rsidP="00520D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5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036984" w:rsidRPr="00520D57">
        <w:rPr>
          <w:rFonts w:ascii="Times New Roman" w:eastAsia="Times New Roman" w:hAnsi="Times New Roman" w:cs="Times New Roman"/>
          <w:sz w:val="24"/>
          <w:szCs w:val="24"/>
        </w:rPr>
        <w:t xml:space="preserve">Page </w:t>
      </w:r>
      <w:r w:rsidR="00B96030" w:rsidRPr="00520D57">
        <w:rPr>
          <w:rFonts w:ascii="Times New Roman" w:eastAsia="Times New Roman" w:hAnsi="Times New Roman" w:cs="Times New Roman"/>
          <w:sz w:val="24"/>
          <w:szCs w:val="24"/>
        </w:rPr>
        <w:t xml:space="preserve">292 in 455.02 A. 5. </w:t>
      </w:r>
      <w:r w:rsidR="00B96030" w:rsidRPr="00520D57">
        <w:rPr>
          <w:rFonts w:ascii="Times New Roman" w:eastAsia="Times New Roman" w:hAnsi="Times New Roman" w:cs="Times New Roman"/>
          <w:b/>
          <w:bCs/>
          <w:sz w:val="24"/>
          <w:szCs w:val="24"/>
        </w:rPr>
        <w:t>ADD</w:t>
      </w:r>
      <w:r w:rsidR="00B96030" w:rsidRPr="00520D57">
        <w:rPr>
          <w:rFonts w:ascii="Times New Roman" w:eastAsia="Times New Roman" w:hAnsi="Times New Roman" w:cs="Times New Roman"/>
          <w:sz w:val="24"/>
          <w:szCs w:val="24"/>
        </w:rPr>
        <w:t xml:space="preserve"> after the 3rd sentence the following:</w:t>
      </w:r>
    </w:p>
    <w:p w14:paraId="5454D6E0" w14:textId="441ACC66" w:rsidR="00B96030" w:rsidRPr="00520D57" w:rsidRDefault="00B96030" w:rsidP="00520D57">
      <w:pPr>
        <w:spacing w:after="0" w:line="240" w:lineRule="auto"/>
        <w:ind w:left="360" w:firstLine="360"/>
        <w:jc w:val="both"/>
        <w:rPr>
          <w:rFonts w:ascii="Times New Roman" w:eastAsia="Times New Roman" w:hAnsi="Times New Roman" w:cstheme="minorHAnsi"/>
          <w:sz w:val="24"/>
          <w:szCs w:val="24"/>
        </w:rPr>
      </w:pPr>
      <w:r w:rsidRPr="00C83BDE">
        <w:rPr>
          <w:rFonts w:ascii="Times New Roman" w:eastAsia="Times New Roman" w:hAnsi="Times New Roman" w:cstheme="minorHAnsi"/>
          <w:sz w:val="24"/>
          <w:szCs w:val="24"/>
          <w:highlight w:val="yellow"/>
        </w:rPr>
        <w:t>When testing Self Consolidating Concrete, use ACI certified Self-Consolidating Concrete Testing Technicians.</w:t>
      </w:r>
    </w:p>
    <w:p w14:paraId="42B20D55" w14:textId="77777777" w:rsidR="00520D57" w:rsidRDefault="00520D57" w:rsidP="0052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9FB30" w14:textId="3598D1B6" w:rsidR="00520D57" w:rsidRPr="00520D57" w:rsidRDefault="00520D57" w:rsidP="0052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57">
        <w:rPr>
          <w:rFonts w:ascii="Times New Roman" w:eastAsia="Times New Roman" w:hAnsi="Times New Roman" w:cs="Times New Roman"/>
          <w:b/>
          <w:sz w:val="24"/>
          <w:szCs w:val="24"/>
        </w:rPr>
        <w:t>499.03</w:t>
      </w:r>
    </w:p>
    <w:p w14:paraId="278D12B5" w14:textId="01BD7E21" w:rsidR="003B3976" w:rsidRDefault="004C1441" w:rsidP="00520D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57">
        <w:rPr>
          <w:rFonts w:ascii="Times New Roman" w:eastAsia="Times New Roman" w:hAnsi="Times New Roman" w:cs="Times New Roman"/>
          <w:sz w:val="24"/>
          <w:szCs w:val="24"/>
        </w:rPr>
        <w:t>On Page 304</w:t>
      </w:r>
      <w:r w:rsidR="004A7E95" w:rsidRPr="00520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092D" w:rsidRPr="002A092D">
        <w:rPr>
          <w:rFonts w:ascii="Times New Roman" w:eastAsia="Times New Roman" w:hAnsi="Times New Roman" w:cs="Times New Roman"/>
          <w:b/>
          <w:bCs/>
          <w:sz w:val="24"/>
          <w:szCs w:val="24"/>
        </w:rPr>
        <w:t>Replace</w:t>
      </w:r>
      <w:r w:rsidR="003B3976" w:rsidRPr="002A0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3976" w:rsidRPr="00520D57">
        <w:rPr>
          <w:rFonts w:ascii="Times New Roman" w:eastAsia="Times New Roman" w:hAnsi="Times New Roman" w:cs="Times New Roman"/>
          <w:sz w:val="24"/>
          <w:szCs w:val="24"/>
        </w:rPr>
        <w:t>TABLE 499.03-1 with the following:</w:t>
      </w:r>
    </w:p>
    <w:p w14:paraId="557D1E46" w14:textId="77777777" w:rsidR="002A092D" w:rsidRPr="002A092D" w:rsidRDefault="002A092D" w:rsidP="00520D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8B0E2" w14:textId="6953831C" w:rsidR="004A7E95" w:rsidRPr="002A092D" w:rsidRDefault="004A7E95" w:rsidP="004A7E95">
      <w:pPr>
        <w:spacing w:after="0"/>
        <w:jc w:val="center"/>
        <w:rPr>
          <w:rFonts w:ascii="Times New Roman" w:hAnsi="Times New Roman" w:cs="Times New Roman"/>
          <w:b/>
        </w:rPr>
      </w:pPr>
      <w:r w:rsidRPr="002A092D">
        <w:rPr>
          <w:rFonts w:ascii="Times New Roman" w:hAnsi="Times New Roman" w:cs="Times New Roman"/>
          <w:b/>
        </w:rPr>
        <w:t>TABLE 499.03-1 CONCRETE MIX DESIGN REQUIREMENTS</w:t>
      </w: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975"/>
        <w:gridCol w:w="1567"/>
        <w:gridCol w:w="1392"/>
        <w:gridCol w:w="2335"/>
      </w:tblGrid>
      <w:tr w:rsidR="004A7E95" w:rsidRPr="004C1441" w14:paraId="14289EED" w14:textId="77777777" w:rsidTr="007833AD">
        <w:trPr>
          <w:jc w:val="center"/>
        </w:trPr>
        <w:tc>
          <w:tcPr>
            <w:tcW w:w="9350" w:type="dxa"/>
            <w:gridSpan w:val="5"/>
            <w:vAlign w:val="center"/>
          </w:tcPr>
          <w:p w14:paraId="4B789DBB" w14:textId="77777777" w:rsidR="004A7E95" w:rsidRPr="004A7E95" w:rsidRDefault="004A7E95" w:rsidP="004A7E95">
            <w:pPr>
              <w:keepNext/>
              <w:ind w:left="144" w:hanging="144"/>
              <w:jc w:val="center"/>
              <w:rPr>
                <w:b/>
                <w:sz w:val="18"/>
                <w:szCs w:val="18"/>
              </w:rPr>
            </w:pPr>
            <w:r w:rsidRPr="004A7E95">
              <w:rPr>
                <w:b/>
                <w:sz w:val="18"/>
                <w:szCs w:val="18"/>
              </w:rPr>
              <w:t>Quantities per Cubic Yard (Cubic Meter)</w:t>
            </w:r>
          </w:p>
          <w:p w14:paraId="40D706B2" w14:textId="6D47DC08" w:rsidR="004A7E95" w:rsidRPr="004C1441" w:rsidRDefault="004A7E95" w:rsidP="004A7E95">
            <w:pPr>
              <w:keepNext/>
              <w:ind w:left="144" w:hanging="144"/>
              <w:jc w:val="center"/>
              <w:rPr>
                <w:b/>
                <w:sz w:val="18"/>
                <w:szCs w:val="18"/>
              </w:rPr>
            </w:pPr>
            <w:r w:rsidRPr="004A7E95">
              <w:rPr>
                <w:b/>
                <w:sz w:val="18"/>
                <w:szCs w:val="18"/>
              </w:rPr>
              <w:t>Provide Concrete with 7±2% Air Content</w:t>
            </w:r>
          </w:p>
        </w:tc>
      </w:tr>
      <w:tr w:rsidR="004A7E95" w:rsidRPr="004C1441" w14:paraId="2DFBE934" w14:textId="77777777" w:rsidTr="004A7E95">
        <w:trPr>
          <w:jc w:val="center"/>
        </w:trPr>
        <w:tc>
          <w:tcPr>
            <w:tcW w:w="0" w:type="auto"/>
            <w:vAlign w:val="center"/>
          </w:tcPr>
          <w:p w14:paraId="5D10F16F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b/>
                <w:sz w:val="24"/>
                <w:szCs w:val="24"/>
              </w:rPr>
            </w:pPr>
            <w:r w:rsidRPr="004C1441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0" w:type="auto"/>
            <w:vAlign w:val="center"/>
          </w:tcPr>
          <w:p w14:paraId="6E0B0D82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b/>
                <w:sz w:val="24"/>
                <w:szCs w:val="24"/>
              </w:rPr>
            </w:pPr>
            <w:r w:rsidRPr="004C1441">
              <w:rPr>
                <w:b/>
                <w:sz w:val="24"/>
                <w:szCs w:val="24"/>
              </w:rPr>
              <w:t>Design Strength</w:t>
            </w:r>
          </w:p>
          <w:p w14:paraId="39121A6E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b/>
                <w:sz w:val="24"/>
                <w:szCs w:val="24"/>
              </w:rPr>
            </w:pPr>
            <w:r w:rsidRPr="004C1441">
              <w:rPr>
                <w:b/>
                <w:sz w:val="24"/>
                <w:szCs w:val="24"/>
              </w:rPr>
              <w:t>psi (MPa)</w:t>
            </w:r>
          </w:p>
        </w:tc>
        <w:tc>
          <w:tcPr>
            <w:tcW w:w="0" w:type="auto"/>
            <w:vAlign w:val="center"/>
          </w:tcPr>
          <w:p w14:paraId="068CBE83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b/>
                <w:sz w:val="18"/>
                <w:szCs w:val="18"/>
                <w:highlight w:val="yellow"/>
              </w:rPr>
            </w:pPr>
            <w:r w:rsidRPr="00C83BDE">
              <w:rPr>
                <w:b/>
                <w:sz w:val="18"/>
                <w:szCs w:val="18"/>
                <w:highlight w:val="yellow"/>
              </w:rPr>
              <w:t>Permeability [1]</w:t>
            </w:r>
          </w:p>
          <w:p w14:paraId="6075652E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b/>
                <w:sz w:val="18"/>
                <w:szCs w:val="18"/>
                <w:highlight w:val="yellow"/>
              </w:rPr>
            </w:pPr>
            <w:r w:rsidRPr="00C83BDE">
              <w:rPr>
                <w:b/>
                <w:sz w:val="18"/>
                <w:szCs w:val="18"/>
                <w:highlight w:val="yellow"/>
              </w:rPr>
              <w:t>Maximum (Coulombs)</w:t>
            </w:r>
          </w:p>
        </w:tc>
        <w:tc>
          <w:tcPr>
            <w:tcW w:w="1392" w:type="dxa"/>
          </w:tcPr>
          <w:p w14:paraId="12B77B64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b/>
                <w:bCs/>
                <w:sz w:val="18"/>
                <w:szCs w:val="18"/>
              </w:rPr>
            </w:pPr>
            <w:r w:rsidRPr="004C1441">
              <w:rPr>
                <w:b/>
                <w:bCs/>
                <w:sz w:val="18"/>
                <w:szCs w:val="18"/>
              </w:rPr>
              <w:t>Surface Resistivity [2] Minimum</w:t>
            </w:r>
          </w:p>
          <w:p w14:paraId="24057177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b/>
                <w:bCs/>
                <w:sz w:val="18"/>
                <w:szCs w:val="18"/>
              </w:rPr>
            </w:pPr>
            <w:r w:rsidRPr="004C1441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4C1441">
              <w:rPr>
                <w:b/>
                <w:bCs/>
                <w:sz w:val="18"/>
                <w:szCs w:val="18"/>
              </w:rPr>
              <w:t>kΩ</w:t>
            </w:r>
            <w:proofErr w:type="spellEnd"/>
            <w:r w:rsidRPr="004C1441">
              <w:rPr>
                <w:b/>
                <w:bCs/>
                <w:sz w:val="18"/>
                <w:szCs w:val="18"/>
              </w:rPr>
              <w:t>-cm, α = 1.5)</w:t>
            </w:r>
          </w:p>
        </w:tc>
        <w:tc>
          <w:tcPr>
            <w:tcW w:w="2335" w:type="dxa"/>
            <w:vAlign w:val="center"/>
          </w:tcPr>
          <w:p w14:paraId="3D5D0843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b/>
                <w:sz w:val="18"/>
                <w:szCs w:val="18"/>
              </w:rPr>
            </w:pPr>
            <w:r w:rsidRPr="004C1441">
              <w:rPr>
                <w:b/>
                <w:sz w:val="18"/>
                <w:szCs w:val="18"/>
              </w:rPr>
              <w:t>Aggregate</w:t>
            </w:r>
            <w:r w:rsidRPr="004C1441">
              <w:rPr>
                <w:b/>
                <w:sz w:val="18"/>
                <w:szCs w:val="18"/>
              </w:rPr>
              <w:fldChar w:fldCharType="begin"/>
            </w:r>
            <w:r w:rsidRPr="004C1441">
              <w:rPr>
                <w:b/>
                <w:sz w:val="18"/>
                <w:szCs w:val="18"/>
              </w:rPr>
              <w:instrText xml:space="preserve"> XE "</w:instrText>
            </w:r>
            <w:r w:rsidRPr="004C1441">
              <w:rPr>
                <w:sz w:val="18"/>
                <w:szCs w:val="18"/>
              </w:rPr>
              <w:instrText>Aggregate"</w:instrText>
            </w:r>
            <w:r w:rsidRPr="004C1441">
              <w:rPr>
                <w:b/>
                <w:sz w:val="18"/>
                <w:szCs w:val="18"/>
              </w:rPr>
              <w:instrText xml:space="preserve"> </w:instrText>
            </w:r>
            <w:r w:rsidRPr="004C1441">
              <w:rPr>
                <w:b/>
                <w:sz w:val="18"/>
                <w:szCs w:val="18"/>
              </w:rPr>
              <w:fldChar w:fldCharType="end"/>
            </w:r>
          </w:p>
          <w:p w14:paraId="3512D180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b/>
                <w:sz w:val="18"/>
                <w:szCs w:val="18"/>
              </w:rPr>
            </w:pPr>
            <w:r w:rsidRPr="004C1441">
              <w:rPr>
                <w:b/>
                <w:sz w:val="18"/>
                <w:szCs w:val="18"/>
              </w:rPr>
              <w:t>Requirements</w:t>
            </w:r>
          </w:p>
        </w:tc>
      </w:tr>
      <w:tr w:rsidR="004A7E95" w:rsidRPr="004A7E95" w14:paraId="673B9B7F" w14:textId="77777777" w:rsidTr="004A7E95">
        <w:trPr>
          <w:trHeight w:val="233"/>
          <w:jc w:val="center"/>
        </w:trPr>
        <w:tc>
          <w:tcPr>
            <w:tcW w:w="0" w:type="auto"/>
            <w:vAlign w:val="center"/>
          </w:tcPr>
          <w:p w14:paraId="342E313B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QC 1</w:t>
            </w:r>
          </w:p>
        </w:tc>
        <w:tc>
          <w:tcPr>
            <w:tcW w:w="0" w:type="auto"/>
            <w:vAlign w:val="center"/>
          </w:tcPr>
          <w:p w14:paraId="6B2366E5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4,000 (28.0) at 28 days</w:t>
            </w:r>
          </w:p>
        </w:tc>
        <w:tc>
          <w:tcPr>
            <w:tcW w:w="0" w:type="auto"/>
            <w:vAlign w:val="center"/>
          </w:tcPr>
          <w:p w14:paraId="482F3D73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2,000</w:t>
            </w:r>
          </w:p>
        </w:tc>
        <w:tc>
          <w:tcPr>
            <w:tcW w:w="1392" w:type="dxa"/>
          </w:tcPr>
          <w:p w14:paraId="57555219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21</w:t>
            </w:r>
          </w:p>
        </w:tc>
        <w:tc>
          <w:tcPr>
            <w:tcW w:w="2335" w:type="dxa"/>
            <w:vAlign w:val="center"/>
          </w:tcPr>
          <w:p w14:paraId="017E597C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Well-Graded</w:t>
            </w:r>
          </w:p>
        </w:tc>
      </w:tr>
      <w:tr w:rsidR="004A7E95" w:rsidRPr="004A7E95" w14:paraId="6B08C3B1" w14:textId="77777777" w:rsidTr="004A7E95">
        <w:trPr>
          <w:trHeight w:val="197"/>
          <w:jc w:val="center"/>
        </w:trPr>
        <w:tc>
          <w:tcPr>
            <w:tcW w:w="0" w:type="auto"/>
            <w:vAlign w:val="center"/>
          </w:tcPr>
          <w:p w14:paraId="74C952D7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QC 1</w:t>
            </w:r>
            <w:proofErr w:type="gramStart"/>
            <w:r w:rsidRPr="004C1441">
              <w:rPr>
                <w:sz w:val="24"/>
                <w:szCs w:val="24"/>
              </w:rPr>
              <w:t>P</w:t>
            </w:r>
            <w:r w:rsidRPr="004C1441">
              <w:rPr>
                <w:sz w:val="24"/>
                <w:szCs w:val="24"/>
                <w:vertAlign w:val="superscript"/>
              </w:rPr>
              <w:t>[</w:t>
            </w:r>
            <w:proofErr w:type="gramEnd"/>
            <w:r w:rsidRPr="004C1441">
              <w:rPr>
                <w:sz w:val="24"/>
                <w:szCs w:val="24"/>
                <w:vertAlign w:val="superscript"/>
              </w:rPr>
              <w:t>8] [9]</w:t>
            </w:r>
          </w:p>
        </w:tc>
        <w:tc>
          <w:tcPr>
            <w:tcW w:w="0" w:type="auto"/>
            <w:vAlign w:val="center"/>
          </w:tcPr>
          <w:p w14:paraId="6A7C0980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4,000 (28.0) at 28 days</w:t>
            </w:r>
          </w:p>
        </w:tc>
        <w:tc>
          <w:tcPr>
            <w:tcW w:w="0" w:type="auto"/>
            <w:vAlign w:val="center"/>
          </w:tcPr>
          <w:p w14:paraId="33855608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2,000</w:t>
            </w:r>
          </w:p>
        </w:tc>
        <w:tc>
          <w:tcPr>
            <w:tcW w:w="1392" w:type="dxa"/>
          </w:tcPr>
          <w:p w14:paraId="1D424547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21</w:t>
            </w:r>
          </w:p>
        </w:tc>
        <w:tc>
          <w:tcPr>
            <w:tcW w:w="2335" w:type="dxa"/>
            <w:vAlign w:val="center"/>
          </w:tcPr>
          <w:p w14:paraId="51880A87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Well-Graded</w:t>
            </w:r>
          </w:p>
        </w:tc>
      </w:tr>
      <w:tr w:rsidR="004A7E95" w:rsidRPr="004A7E95" w14:paraId="4C88B824" w14:textId="77777777" w:rsidTr="004A7E95">
        <w:trPr>
          <w:trHeight w:val="197"/>
          <w:jc w:val="center"/>
        </w:trPr>
        <w:tc>
          <w:tcPr>
            <w:tcW w:w="0" w:type="auto"/>
            <w:vAlign w:val="center"/>
          </w:tcPr>
          <w:p w14:paraId="4A4857A9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QC 2</w:t>
            </w:r>
          </w:p>
        </w:tc>
        <w:tc>
          <w:tcPr>
            <w:tcW w:w="0" w:type="auto"/>
            <w:vAlign w:val="center"/>
          </w:tcPr>
          <w:p w14:paraId="5457B9B2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 xml:space="preserve">4,500 (31.0) </w:t>
            </w:r>
            <w:proofErr w:type="gramStart"/>
            <w:r w:rsidRPr="004C1441">
              <w:rPr>
                <w:sz w:val="24"/>
                <w:szCs w:val="24"/>
              </w:rPr>
              <w:t>at</w:t>
            </w:r>
            <w:proofErr w:type="gramEnd"/>
            <w:r w:rsidRPr="004C1441">
              <w:rPr>
                <w:sz w:val="24"/>
                <w:szCs w:val="24"/>
              </w:rPr>
              <w:t xml:space="preserve"> 28 days</w:t>
            </w:r>
          </w:p>
        </w:tc>
        <w:tc>
          <w:tcPr>
            <w:tcW w:w="0" w:type="auto"/>
            <w:vAlign w:val="center"/>
          </w:tcPr>
          <w:p w14:paraId="447BD08F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1,500</w:t>
            </w:r>
          </w:p>
        </w:tc>
        <w:tc>
          <w:tcPr>
            <w:tcW w:w="1392" w:type="dxa"/>
          </w:tcPr>
          <w:p w14:paraId="5CFCD131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29</w:t>
            </w:r>
          </w:p>
        </w:tc>
        <w:tc>
          <w:tcPr>
            <w:tcW w:w="2335" w:type="dxa"/>
            <w:vAlign w:val="center"/>
          </w:tcPr>
          <w:p w14:paraId="60F5B0B3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Well-Graded</w:t>
            </w:r>
          </w:p>
        </w:tc>
      </w:tr>
      <w:tr w:rsidR="004A7E95" w:rsidRPr="004A7E95" w14:paraId="4F698D2E" w14:textId="77777777" w:rsidTr="004A7E95">
        <w:trPr>
          <w:trHeight w:val="251"/>
          <w:jc w:val="center"/>
        </w:trPr>
        <w:tc>
          <w:tcPr>
            <w:tcW w:w="0" w:type="auto"/>
            <w:vAlign w:val="center"/>
          </w:tcPr>
          <w:p w14:paraId="340D133F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QC 3</w:t>
            </w:r>
          </w:p>
          <w:p w14:paraId="74A82D61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Special</w:t>
            </w:r>
          </w:p>
        </w:tc>
        <w:tc>
          <w:tcPr>
            <w:tcW w:w="0" w:type="auto"/>
            <w:vAlign w:val="center"/>
          </w:tcPr>
          <w:p w14:paraId="72E1C5BE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As per plan</w:t>
            </w:r>
          </w:p>
        </w:tc>
        <w:tc>
          <w:tcPr>
            <w:tcW w:w="0" w:type="auto"/>
            <w:vAlign w:val="center"/>
          </w:tcPr>
          <w:p w14:paraId="5A6BEC41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1,500</w:t>
            </w:r>
          </w:p>
          <w:p w14:paraId="7953588B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or as per plan</w:t>
            </w:r>
          </w:p>
        </w:tc>
        <w:tc>
          <w:tcPr>
            <w:tcW w:w="1392" w:type="dxa"/>
          </w:tcPr>
          <w:p w14:paraId="0D78D206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29 or as per plan</w:t>
            </w:r>
          </w:p>
        </w:tc>
        <w:tc>
          <w:tcPr>
            <w:tcW w:w="2335" w:type="dxa"/>
            <w:vAlign w:val="center"/>
          </w:tcPr>
          <w:p w14:paraId="5BB5256C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Well-Graded or as per plan</w:t>
            </w:r>
          </w:p>
        </w:tc>
      </w:tr>
      <w:tr w:rsidR="004A7E95" w:rsidRPr="004A7E95" w14:paraId="2A340E33" w14:textId="77777777" w:rsidTr="004A7E95">
        <w:trPr>
          <w:trHeight w:val="386"/>
          <w:jc w:val="center"/>
        </w:trPr>
        <w:tc>
          <w:tcPr>
            <w:tcW w:w="0" w:type="auto"/>
            <w:vAlign w:val="center"/>
          </w:tcPr>
          <w:p w14:paraId="1F59FB99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QC 4 Mass Concrete</w:t>
            </w:r>
            <w:r w:rsidRPr="004C1441">
              <w:rPr>
                <w:sz w:val="24"/>
                <w:szCs w:val="24"/>
                <w:vertAlign w:val="superscript"/>
              </w:rPr>
              <w:t xml:space="preserve"> [4] [5]</w:t>
            </w:r>
            <w:r w:rsidRPr="004C1441">
              <w:rPr>
                <w:sz w:val="24"/>
                <w:szCs w:val="24"/>
              </w:rPr>
              <w:fldChar w:fldCharType="begin"/>
            </w:r>
            <w:r w:rsidRPr="004C1441">
              <w:rPr>
                <w:sz w:val="24"/>
                <w:szCs w:val="24"/>
              </w:rPr>
              <w:instrText xml:space="preserve"> XE "Concrete" </w:instrText>
            </w:r>
            <w:r w:rsidRPr="004C1441">
              <w:rPr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A15E6E9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4,000 (28.0)</w:t>
            </w:r>
          </w:p>
          <w:p w14:paraId="154859AE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 xml:space="preserve">or as per plan </w:t>
            </w:r>
            <w:r w:rsidRPr="004C1441">
              <w:rPr>
                <w:sz w:val="24"/>
                <w:szCs w:val="24"/>
                <w:vertAlign w:val="superscript"/>
              </w:rPr>
              <w:t>[3]</w:t>
            </w:r>
          </w:p>
        </w:tc>
        <w:tc>
          <w:tcPr>
            <w:tcW w:w="0" w:type="auto"/>
            <w:vAlign w:val="center"/>
          </w:tcPr>
          <w:p w14:paraId="13A5244E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2,000</w:t>
            </w:r>
          </w:p>
          <w:p w14:paraId="416E91BD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or as per plan</w:t>
            </w:r>
          </w:p>
        </w:tc>
        <w:tc>
          <w:tcPr>
            <w:tcW w:w="1392" w:type="dxa"/>
          </w:tcPr>
          <w:p w14:paraId="49D9CB7D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21 or as per plan</w:t>
            </w:r>
          </w:p>
        </w:tc>
        <w:tc>
          <w:tcPr>
            <w:tcW w:w="2335" w:type="dxa"/>
            <w:vAlign w:val="center"/>
          </w:tcPr>
          <w:p w14:paraId="551BE52F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Well-Graded or as per plan</w:t>
            </w:r>
          </w:p>
        </w:tc>
      </w:tr>
      <w:tr w:rsidR="004A7E95" w:rsidRPr="004A7E95" w14:paraId="1A9C2AFF" w14:textId="77777777" w:rsidTr="004A7E95">
        <w:trPr>
          <w:trHeight w:val="368"/>
          <w:jc w:val="center"/>
        </w:trPr>
        <w:tc>
          <w:tcPr>
            <w:tcW w:w="0" w:type="auto"/>
            <w:vAlign w:val="center"/>
          </w:tcPr>
          <w:p w14:paraId="2A117100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 xml:space="preserve">QC 5 </w:t>
            </w:r>
            <w:r w:rsidRPr="004C1441">
              <w:rPr>
                <w:sz w:val="24"/>
                <w:szCs w:val="24"/>
                <w:vertAlign w:val="superscript"/>
              </w:rPr>
              <w:t>[7]</w:t>
            </w:r>
          </w:p>
        </w:tc>
        <w:tc>
          <w:tcPr>
            <w:tcW w:w="0" w:type="auto"/>
            <w:vAlign w:val="center"/>
          </w:tcPr>
          <w:p w14:paraId="7A28E8DC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4500 (31.0) at 28 days</w:t>
            </w:r>
          </w:p>
        </w:tc>
        <w:tc>
          <w:tcPr>
            <w:tcW w:w="0" w:type="auto"/>
            <w:vAlign w:val="center"/>
          </w:tcPr>
          <w:p w14:paraId="0E7A344A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392" w:type="dxa"/>
          </w:tcPr>
          <w:p w14:paraId="0134B1CF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N/A</w:t>
            </w:r>
          </w:p>
        </w:tc>
        <w:tc>
          <w:tcPr>
            <w:tcW w:w="2335" w:type="dxa"/>
            <w:vAlign w:val="center"/>
          </w:tcPr>
          <w:p w14:paraId="21F6F831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1 inch or 3/8-inch nominal maximum size</w:t>
            </w:r>
          </w:p>
        </w:tc>
      </w:tr>
      <w:tr w:rsidR="004A7E95" w:rsidRPr="004A7E95" w14:paraId="1709FB77" w14:textId="77777777" w:rsidTr="004A7E95">
        <w:trPr>
          <w:trHeight w:val="278"/>
          <w:jc w:val="center"/>
        </w:trPr>
        <w:tc>
          <w:tcPr>
            <w:tcW w:w="0" w:type="auto"/>
            <w:vAlign w:val="center"/>
          </w:tcPr>
          <w:p w14:paraId="742A3F24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 xml:space="preserve">QC SCC </w:t>
            </w:r>
            <w:r w:rsidRPr="004C1441">
              <w:rPr>
                <w:sz w:val="24"/>
                <w:szCs w:val="24"/>
                <w:vertAlign w:val="superscript"/>
              </w:rPr>
              <w:t>[7]</w:t>
            </w:r>
          </w:p>
        </w:tc>
        <w:tc>
          <w:tcPr>
            <w:tcW w:w="0" w:type="auto"/>
            <w:vAlign w:val="center"/>
          </w:tcPr>
          <w:p w14:paraId="13C5455C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 xml:space="preserve">4500 (31.0) </w:t>
            </w:r>
            <w:proofErr w:type="gramStart"/>
            <w:r w:rsidRPr="004C1441">
              <w:rPr>
                <w:sz w:val="24"/>
                <w:szCs w:val="24"/>
              </w:rPr>
              <w:t>at</w:t>
            </w:r>
            <w:proofErr w:type="gramEnd"/>
            <w:r w:rsidRPr="004C1441">
              <w:rPr>
                <w:sz w:val="24"/>
                <w:szCs w:val="24"/>
              </w:rPr>
              <w:t xml:space="preserve"> 28 days</w:t>
            </w:r>
          </w:p>
        </w:tc>
        <w:tc>
          <w:tcPr>
            <w:tcW w:w="0" w:type="auto"/>
            <w:vAlign w:val="center"/>
          </w:tcPr>
          <w:p w14:paraId="1202A8E0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1,500</w:t>
            </w:r>
          </w:p>
          <w:p w14:paraId="0B1553AC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or as per plan</w:t>
            </w:r>
          </w:p>
        </w:tc>
        <w:tc>
          <w:tcPr>
            <w:tcW w:w="1392" w:type="dxa"/>
          </w:tcPr>
          <w:p w14:paraId="4C37AD19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29 or as per plan</w:t>
            </w:r>
          </w:p>
        </w:tc>
        <w:tc>
          <w:tcPr>
            <w:tcW w:w="2335" w:type="dxa"/>
            <w:vAlign w:val="center"/>
          </w:tcPr>
          <w:p w14:paraId="12105142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Well-Graded, 1 inch or 3/8-inch nominal size or as per plan</w:t>
            </w:r>
          </w:p>
        </w:tc>
      </w:tr>
      <w:tr w:rsidR="004A7E95" w:rsidRPr="004A7E95" w14:paraId="5447FC8B" w14:textId="77777777" w:rsidTr="004A7E95">
        <w:trPr>
          <w:trHeight w:val="278"/>
          <w:jc w:val="center"/>
        </w:trPr>
        <w:tc>
          <w:tcPr>
            <w:tcW w:w="0" w:type="auto"/>
            <w:vAlign w:val="center"/>
          </w:tcPr>
          <w:p w14:paraId="7500B754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QC MS</w:t>
            </w:r>
          </w:p>
        </w:tc>
        <w:tc>
          <w:tcPr>
            <w:tcW w:w="0" w:type="auto"/>
            <w:vAlign w:val="center"/>
          </w:tcPr>
          <w:p w14:paraId="37860D13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 xml:space="preserve">See Supplement </w:t>
            </w:r>
            <w:hyperlink r:id="rId7" w:history="1">
              <w:r w:rsidRPr="004C1441">
                <w:rPr>
                  <w:color w:val="004E9A"/>
                  <w:sz w:val="24"/>
                  <w:szCs w:val="24"/>
                </w:rPr>
                <w:t>1126</w:t>
              </w:r>
            </w:hyperlink>
          </w:p>
        </w:tc>
        <w:tc>
          <w:tcPr>
            <w:tcW w:w="0" w:type="auto"/>
            <w:vAlign w:val="center"/>
          </w:tcPr>
          <w:p w14:paraId="2CB0599C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392" w:type="dxa"/>
          </w:tcPr>
          <w:p w14:paraId="046A88FF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N/A</w:t>
            </w:r>
          </w:p>
        </w:tc>
        <w:tc>
          <w:tcPr>
            <w:tcW w:w="2335" w:type="dxa"/>
            <w:vAlign w:val="center"/>
          </w:tcPr>
          <w:p w14:paraId="7A6A1F84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1-inch nominal maximum size</w:t>
            </w:r>
          </w:p>
        </w:tc>
      </w:tr>
      <w:tr w:rsidR="004A7E95" w:rsidRPr="004A7E95" w14:paraId="62E87E01" w14:textId="77777777" w:rsidTr="004A7E95">
        <w:trPr>
          <w:trHeight w:val="323"/>
          <w:jc w:val="center"/>
        </w:trPr>
        <w:tc>
          <w:tcPr>
            <w:tcW w:w="0" w:type="auto"/>
            <w:vAlign w:val="center"/>
          </w:tcPr>
          <w:p w14:paraId="68B0486B" w14:textId="77777777" w:rsidR="004A7E95" w:rsidRPr="004C1441" w:rsidRDefault="004A7E95" w:rsidP="004C1441">
            <w:pPr>
              <w:keepNext/>
              <w:jc w:val="center"/>
              <w:rPr>
                <w:strike/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 xml:space="preserve">QC </w:t>
            </w:r>
            <w:proofErr w:type="gramStart"/>
            <w:r w:rsidRPr="004C1441">
              <w:rPr>
                <w:sz w:val="24"/>
                <w:szCs w:val="24"/>
              </w:rPr>
              <w:t>RS</w:t>
            </w:r>
            <w:r w:rsidRPr="004C1441">
              <w:rPr>
                <w:sz w:val="24"/>
                <w:szCs w:val="24"/>
                <w:vertAlign w:val="superscript"/>
              </w:rPr>
              <w:t>[</w:t>
            </w:r>
            <w:proofErr w:type="gramEnd"/>
            <w:r w:rsidRPr="004C1441">
              <w:rPr>
                <w:sz w:val="24"/>
                <w:szCs w:val="24"/>
                <w:vertAlign w:val="superscript"/>
              </w:rPr>
              <w:t>10]</w:t>
            </w:r>
          </w:p>
        </w:tc>
        <w:tc>
          <w:tcPr>
            <w:tcW w:w="0" w:type="auto"/>
            <w:vAlign w:val="center"/>
          </w:tcPr>
          <w:p w14:paraId="4DD72E9A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 xml:space="preserve">See Supplement </w:t>
            </w:r>
            <w:hyperlink r:id="rId8" w:history="1">
              <w:r w:rsidRPr="004C1441">
                <w:rPr>
                  <w:color w:val="004E9A"/>
                  <w:sz w:val="24"/>
                  <w:szCs w:val="24"/>
                </w:rPr>
                <w:t>1126</w:t>
              </w:r>
            </w:hyperlink>
          </w:p>
        </w:tc>
        <w:tc>
          <w:tcPr>
            <w:tcW w:w="0" w:type="auto"/>
            <w:vAlign w:val="center"/>
          </w:tcPr>
          <w:p w14:paraId="53239BD7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2,000</w:t>
            </w:r>
          </w:p>
        </w:tc>
        <w:tc>
          <w:tcPr>
            <w:tcW w:w="1392" w:type="dxa"/>
          </w:tcPr>
          <w:p w14:paraId="181E7567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21</w:t>
            </w:r>
          </w:p>
        </w:tc>
        <w:tc>
          <w:tcPr>
            <w:tcW w:w="2335" w:type="dxa"/>
            <w:vAlign w:val="center"/>
          </w:tcPr>
          <w:p w14:paraId="4E59B7AE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Well-Graded</w:t>
            </w:r>
          </w:p>
        </w:tc>
      </w:tr>
      <w:tr w:rsidR="004A7E95" w:rsidRPr="004A7E95" w14:paraId="5BDCEF2E" w14:textId="77777777" w:rsidTr="004A7E95">
        <w:trPr>
          <w:trHeight w:val="350"/>
          <w:jc w:val="center"/>
        </w:trPr>
        <w:tc>
          <w:tcPr>
            <w:tcW w:w="0" w:type="auto"/>
            <w:vAlign w:val="center"/>
          </w:tcPr>
          <w:p w14:paraId="0C36C681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 xml:space="preserve">QC Misc. </w:t>
            </w:r>
            <w:r w:rsidRPr="004C1441">
              <w:rPr>
                <w:sz w:val="24"/>
                <w:szCs w:val="24"/>
                <w:vertAlign w:val="superscript"/>
              </w:rPr>
              <w:t>[6]</w:t>
            </w:r>
          </w:p>
        </w:tc>
        <w:tc>
          <w:tcPr>
            <w:tcW w:w="0" w:type="auto"/>
            <w:vAlign w:val="center"/>
          </w:tcPr>
          <w:p w14:paraId="2C6A0A0C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4"/>
                <w:szCs w:val="24"/>
              </w:rPr>
            </w:pPr>
            <w:r w:rsidRPr="004C1441">
              <w:rPr>
                <w:sz w:val="24"/>
                <w:szCs w:val="24"/>
              </w:rPr>
              <w:t>4,000 (28.0) at 28 days</w:t>
            </w:r>
          </w:p>
        </w:tc>
        <w:tc>
          <w:tcPr>
            <w:tcW w:w="0" w:type="auto"/>
            <w:vAlign w:val="center"/>
          </w:tcPr>
          <w:p w14:paraId="7B103743" w14:textId="77777777" w:rsidR="004A7E95" w:rsidRPr="00C83BDE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  <w:highlight w:val="yellow"/>
              </w:rPr>
            </w:pPr>
            <w:r w:rsidRPr="00C83BDE"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392" w:type="dxa"/>
          </w:tcPr>
          <w:p w14:paraId="3824FB6D" w14:textId="77777777" w:rsidR="004A7E95" w:rsidRPr="004C1441" w:rsidDel="008C20CF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N/A</w:t>
            </w:r>
          </w:p>
        </w:tc>
        <w:tc>
          <w:tcPr>
            <w:tcW w:w="2335" w:type="dxa"/>
            <w:vAlign w:val="center"/>
          </w:tcPr>
          <w:p w14:paraId="338DA418" w14:textId="77777777" w:rsidR="004A7E95" w:rsidRPr="004C1441" w:rsidRDefault="004A7E95" w:rsidP="004C1441">
            <w:pPr>
              <w:keepNext/>
              <w:ind w:left="144" w:hanging="144"/>
              <w:jc w:val="center"/>
              <w:rPr>
                <w:sz w:val="22"/>
                <w:szCs w:val="22"/>
              </w:rPr>
            </w:pPr>
            <w:r w:rsidRPr="004C1441">
              <w:rPr>
                <w:sz w:val="22"/>
                <w:szCs w:val="22"/>
              </w:rPr>
              <w:t>1-inch nominal maximum size</w:t>
            </w:r>
          </w:p>
        </w:tc>
      </w:tr>
      <w:tr w:rsidR="004A7E95" w:rsidRPr="004C1441" w14:paraId="52EA503A" w14:textId="77777777" w:rsidTr="00C83BDE">
        <w:trPr>
          <w:trHeight w:val="1446"/>
          <w:jc w:val="center"/>
        </w:trPr>
        <w:tc>
          <w:tcPr>
            <w:tcW w:w="9350" w:type="dxa"/>
            <w:gridSpan w:val="5"/>
            <w:vAlign w:val="center"/>
          </w:tcPr>
          <w:p w14:paraId="296D87EB" w14:textId="77777777" w:rsidR="004A7E95" w:rsidRPr="004A7E95" w:rsidRDefault="004A7E95" w:rsidP="004A7E95">
            <w:pPr>
              <w:keepNext/>
              <w:ind w:left="144" w:hanging="144"/>
              <w:rPr>
                <w:sz w:val="18"/>
                <w:szCs w:val="18"/>
              </w:rPr>
            </w:pPr>
            <w:r w:rsidRPr="004A7E95">
              <w:rPr>
                <w:sz w:val="18"/>
                <w:szCs w:val="18"/>
              </w:rPr>
              <w:t xml:space="preserve">[1] AASHTO T277 </w:t>
            </w:r>
            <w:r w:rsidRPr="00C83BDE">
              <w:rPr>
                <w:sz w:val="18"/>
                <w:szCs w:val="18"/>
                <w:highlight w:val="yellow"/>
              </w:rPr>
              <w:t xml:space="preserve">Modified. Mix design must meet either permeability or resistivity </w:t>
            </w:r>
            <w:proofErr w:type="gramStart"/>
            <w:r w:rsidRPr="00C83BDE">
              <w:rPr>
                <w:sz w:val="18"/>
                <w:szCs w:val="18"/>
                <w:highlight w:val="yellow"/>
              </w:rPr>
              <w:t>requirement</w:t>
            </w:r>
            <w:proofErr w:type="gramEnd"/>
            <w:r w:rsidRPr="00C83BDE">
              <w:rPr>
                <w:sz w:val="18"/>
                <w:szCs w:val="18"/>
                <w:highlight w:val="yellow"/>
              </w:rPr>
              <w:t>.</w:t>
            </w:r>
          </w:p>
          <w:p w14:paraId="6A040368" w14:textId="77777777" w:rsidR="004A7E95" w:rsidRPr="004A7E95" w:rsidRDefault="004A7E95" w:rsidP="004A7E95">
            <w:pPr>
              <w:keepNext/>
              <w:ind w:left="144" w:hanging="144"/>
              <w:rPr>
                <w:sz w:val="18"/>
                <w:szCs w:val="18"/>
              </w:rPr>
            </w:pPr>
            <w:r w:rsidRPr="00C83BDE">
              <w:rPr>
                <w:sz w:val="18"/>
                <w:szCs w:val="18"/>
                <w:highlight w:val="yellow"/>
              </w:rPr>
              <w:t xml:space="preserve">[2] AASHTO T358 Modified. Mix design must meet either permeability or resistivity </w:t>
            </w:r>
            <w:proofErr w:type="gramStart"/>
            <w:r w:rsidRPr="00C83BDE">
              <w:rPr>
                <w:sz w:val="18"/>
                <w:szCs w:val="18"/>
                <w:highlight w:val="yellow"/>
              </w:rPr>
              <w:t>requirement</w:t>
            </w:r>
            <w:proofErr w:type="gramEnd"/>
            <w:r w:rsidRPr="00C83BDE">
              <w:rPr>
                <w:sz w:val="18"/>
                <w:szCs w:val="18"/>
                <w:highlight w:val="yellow"/>
              </w:rPr>
              <w:t>.</w:t>
            </w:r>
          </w:p>
          <w:p w14:paraId="3703A019" w14:textId="77777777" w:rsidR="004A7E95" w:rsidRPr="004A7E95" w:rsidRDefault="004A7E95" w:rsidP="004A7E95">
            <w:pPr>
              <w:keepNext/>
              <w:ind w:left="144" w:hanging="144"/>
              <w:rPr>
                <w:sz w:val="18"/>
                <w:szCs w:val="18"/>
              </w:rPr>
            </w:pPr>
            <w:r w:rsidRPr="004A7E95">
              <w:rPr>
                <w:sz w:val="18"/>
                <w:szCs w:val="18"/>
              </w:rPr>
              <w:t>[3] Strength for Mass Concrete (QC 4) may be tested at either 28 or 56 days.</w:t>
            </w:r>
          </w:p>
          <w:p w14:paraId="2121A777" w14:textId="77777777" w:rsidR="004A7E95" w:rsidRPr="004A7E95" w:rsidRDefault="004A7E95" w:rsidP="004A7E95">
            <w:pPr>
              <w:keepNext/>
              <w:ind w:left="144" w:hanging="144"/>
              <w:rPr>
                <w:sz w:val="18"/>
                <w:szCs w:val="18"/>
              </w:rPr>
            </w:pPr>
            <w:r w:rsidRPr="004A7E95">
              <w:rPr>
                <w:sz w:val="18"/>
                <w:szCs w:val="18"/>
              </w:rPr>
              <w:t>[4] Do not use Type III cement or accelerating admixtures in mass concrete.</w:t>
            </w:r>
          </w:p>
          <w:p w14:paraId="2322458B" w14:textId="77777777" w:rsidR="004A7E95" w:rsidRPr="004A7E95" w:rsidRDefault="004A7E95" w:rsidP="004A7E95">
            <w:pPr>
              <w:keepNext/>
              <w:ind w:left="144" w:hanging="144"/>
              <w:rPr>
                <w:sz w:val="18"/>
                <w:szCs w:val="18"/>
              </w:rPr>
            </w:pPr>
            <w:r w:rsidRPr="004A7E95">
              <w:rPr>
                <w:sz w:val="18"/>
                <w:szCs w:val="18"/>
              </w:rPr>
              <w:t>[5] The maximum fly ash, natural pozzolan, or slag cement content may be increased up to 50%.</w:t>
            </w:r>
          </w:p>
          <w:p w14:paraId="74D299A5" w14:textId="77777777" w:rsidR="004A7E95" w:rsidRPr="004A7E95" w:rsidRDefault="004A7E95" w:rsidP="004A7E95">
            <w:pPr>
              <w:keepNext/>
              <w:ind w:left="144" w:hanging="144"/>
              <w:rPr>
                <w:sz w:val="18"/>
                <w:szCs w:val="18"/>
              </w:rPr>
            </w:pPr>
            <w:r w:rsidRPr="004A7E95">
              <w:rPr>
                <w:sz w:val="18"/>
                <w:szCs w:val="18"/>
              </w:rPr>
              <w:t>[6] For QC Misc. mixes only –Water/Cementitious ratio limited to 0.50 maximum.</w:t>
            </w:r>
          </w:p>
          <w:p w14:paraId="4E5D38F7" w14:textId="77777777" w:rsidR="004A7E95" w:rsidRPr="00C83BDE" w:rsidRDefault="004A7E95" w:rsidP="004A7E95">
            <w:pPr>
              <w:keepNext/>
              <w:ind w:left="144" w:hanging="144"/>
              <w:rPr>
                <w:sz w:val="18"/>
                <w:szCs w:val="18"/>
                <w:highlight w:val="yellow"/>
              </w:rPr>
            </w:pPr>
            <w:r w:rsidRPr="00C83BDE">
              <w:rPr>
                <w:sz w:val="18"/>
                <w:szCs w:val="18"/>
                <w:highlight w:val="yellow"/>
              </w:rPr>
              <w:t>[7] For QC 5 and QC SCC mixes with 3/8-inch nominal size, provide an air content of 8±2%.</w:t>
            </w:r>
          </w:p>
          <w:p w14:paraId="695F3677" w14:textId="77777777" w:rsidR="004A7E95" w:rsidRPr="00C83BDE" w:rsidRDefault="004A7E95" w:rsidP="004A7E95">
            <w:pPr>
              <w:keepNext/>
              <w:ind w:left="144" w:hanging="144"/>
              <w:rPr>
                <w:sz w:val="18"/>
                <w:szCs w:val="18"/>
                <w:highlight w:val="yellow"/>
              </w:rPr>
            </w:pPr>
            <w:r w:rsidRPr="00C83BDE">
              <w:rPr>
                <w:sz w:val="18"/>
                <w:szCs w:val="18"/>
                <w:highlight w:val="yellow"/>
              </w:rPr>
              <w:t>[8] Portland cement concrete pavement mix design.</w:t>
            </w:r>
          </w:p>
          <w:p w14:paraId="04B9722A" w14:textId="77777777" w:rsidR="004A7E95" w:rsidRPr="00C83BDE" w:rsidRDefault="004A7E95" w:rsidP="004A7E95">
            <w:pPr>
              <w:keepNext/>
              <w:ind w:left="144" w:hanging="144"/>
              <w:rPr>
                <w:sz w:val="18"/>
                <w:szCs w:val="18"/>
                <w:highlight w:val="yellow"/>
              </w:rPr>
            </w:pPr>
            <w:r w:rsidRPr="00C83BDE">
              <w:rPr>
                <w:sz w:val="18"/>
                <w:szCs w:val="18"/>
                <w:highlight w:val="yellow"/>
              </w:rPr>
              <w:t>[9] QC 1P may be used in lieu of QC 1. QC 1 may not be used in lieu of QC 1P.</w:t>
            </w:r>
          </w:p>
          <w:p w14:paraId="575E2CD2" w14:textId="595D5D32" w:rsidR="004A7E95" w:rsidRPr="004C1441" w:rsidRDefault="004A7E95" w:rsidP="004A7E95">
            <w:pPr>
              <w:keepNext/>
              <w:ind w:left="144" w:hanging="144"/>
              <w:rPr>
                <w:sz w:val="18"/>
                <w:szCs w:val="18"/>
              </w:rPr>
            </w:pPr>
            <w:r w:rsidRPr="00C83BDE">
              <w:rPr>
                <w:sz w:val="18"/>
                <w:szCs w:val="18"/>
                <w:highlight w:val="yellow"/>
              </w:rPr>
              <w:t>[10] Provide QC RS with 6±2% air content.</w:t>
            </w:r>
          </w:p>
        </w:tc>
      </w:tr>
    </w:tbl>
    <w:p w14:paraId="3F0D0ECB" w14:textId="1E5983D6" w:rsidR="00290111" w:rsidRDefault="003B3976">
      <w:pPr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EED260" wp14:editId="2684FF24">
                <wp:simplePos x="0" y="0"/>
                <wp:positionH relativeFrom="margin">
                  <wp:posOffset>-428017</wp:posOffset>
                </wp:positionH>
                <wp:positionV relativeFrom="paragraph">
                  <wp:posOffset>1941776</wp:posOffset>
                </wp:positionV>
                <wp:extent cx="6664569" cy="0"/>
                <wp:effectExtent l="0" t="0" r="0" b="0"/>
                <wp:wrapNone/>
                <wp:docPr id="17335761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56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17151" id="Straight Connector 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3.7pt,152.9pt" to="491.05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7677133" w14:textId="0DCA20D0" w:rsidR="003B3976" w:rsidRDefault="003B3976">
      <w:pPr>
        <w:rPr>
          <w:b/>
        </w:rPr>
      </w:pPr>
    </w:p>
    <w:p w14:paraId="25C0190C" w14:textId="373DEC93" w:rsidR="00B96030" w:rsidRPr="00520D57" w:rsidRDefault="00B96030" w:rsidP="00520D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57">
        <w:rPr>
          <w:rFonts w:ascii="Times New Roman" w:eastAsia="Times New Roman" w:hAnsi="Times New Roman" w:cs="Times New Roman"/>
          <w:sz w:val="24"/>
          <w:szCs w:val="24"/>
        </w:rPr>
        <w:t>On Page 30</w:t>
      </w:r>
      <w:r w:rsidR="00F5707C" w:rsidRPr="00520D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0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707C" w:rsidRPr="00520D57">
        <w:rPr>
          <w:rFonts w:ascii="Times New Roman" w:eastAsia="Times New Roman" w:hAnsi="Times New Roman" w:cs="Times New Roman"/>
          <w:b/>
          <w:bCs/>
          <w:sz w:val="24"/>
          <w:szCs w:val="24"/>
        </w:rPr>
        <w:t>ADD</w:t>
      </w:r>
      <w:r w:rsidR="00F5707C" w:rsidRPr="00520D57">
        <w:rPr>
          <w:rFonts w:ascii="Times New Roman" w:eastAsia="Times New Roman" w:hAnsi="Times New Roman" w:cs="Times New Roman"/>
          <w:sz w:val="24"/>
          <w:szCs w:val="24"/>
        </w:rPr>
        <w:t xml:space="preserve"> the following </w:t>
      </w:r>
      <w:r w:rsidR="003B3976" w:rsidRPr="00520D57">
        <w:rPr>
          <w:rFonts w:ascii="Times New Roman" w:eastAsia="Times New Roman" w:hAnsi="Times New Roman" w:cs="Times New Roman"/>
          <w:sz w:val="24"/>
          <w:szCs w:val="24"/>
        </w:rPr>
        <w:t xml:space="preserve">sentences </w:t>
      </w:r>
      <w:r w:rsidR="00F5707C" w:rsidRPr="00520D57">
        <w:rPr>
          <w:rFonts w:ascii="Times New Roman" w:eastAsia="Times New Roman" w:hAnsi="Times New Roman" w:cs="Times New Roman"/>
          <w:sz w:val="24"/>
          <w:szCs w:val="24"/>
        </w:rPr>
        <w:t>between the last 2 paragraphs on the page</w:t>
      </w:r>
      <w:r w:rsidRPr="00520D5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49DDAF" w14:textId="51F84BE8" w:rsidR="00F5707C" w:rsidRPr="00520D57" w:rsidRDefault="00F5707C" w:rsidP="00520D57">
      <w:pPr>
        <w:spacing w:after="0" w:line="240" w:lineRule="auto"/>
        <w:ind w:left="360" w:firstLine="360"/>
        <w:jc w:val="both"/>
        <w:rPr>
          <w:rFonts w:ascii="Times New Roman" w:eastAsia="Times New Roman" w:hAnsi="Times New Roman" w:cstheme="minorHAnsi"/>
          <w:sz w:val="24"/>
          <w:szCs w:val="24"/>
        </w:rPr>
      </w:pPr>
      <w:r w:rsidRPr="00C83BDE">
        <w:rPr>
          <w:rFonts w:ascii="Times New Roman" w:eastAsia="Times New Roman" w:hAnsi="Times New Roman" w:cstheme="minorHAnsi"/>
          <w:sz w:val="24"/>
          <w:szCs w:val="24"/>
          <w:highlight w:val="yellow"/>
        </w:rPr>
        <w:t xml:space="preserve">Determine the resistivity by testing according to AASHTO T358 except test 4” x 8” cylinders cured in </w:t>
      </w:r>
      <w:proofErr w:type="gramStart"/>
      <w:r w:rsidRPr="00C83BDE">
        <w:rPr>
          <w:rFonts w:ascii="Times New Roman" w:eastAsia="Times New Roman" w:hAnsi="Times New Roman" w:cstheme="minorHAnsi"/>
          <w:sz w:val="24"/>
          <w:szCs w:val="24"/>
          <w:highlight w:val="yellow"/>
        </w:rPr>
        <w:t>lime-water</w:t>
      </w:r>
      <w:proofErr w:type="gramEnd"/>
      <w:r w:rsidRPr="00C83BDE">
        <w:rPr>
          <w:rFonts w:ascii="Times New Roman" w:eastAsia="Times New Roman" w:hAnsi="Times New Roman" w:cstheme="minorHAnsi"/>
          <w:sz w:val="24"/>
          <w:szCs w:val="24"/>
          <w:highlight w:val="yellow"/>
        </w:rPr>
        <w:t>. Perform resistivity testing at 28 days.</w:t>
      </w:r>
    </w:p>
    <w:p w14:paraId="5DC3800A" w14:textId="0DB7FAF0" w:rsidR="00A65213" w:rsidRDefault="00A65213">
      <w:pPr>
        <w:rPr>
          <w:b/>
          <w:highlight w:val="gree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2ECDFD" wp14:editId="1D8159AB">
                <wp:simplePos x="0" y="0"/>
                <wp:positionH relativeFrom="margin">
                  <wp:posOffset>-426720</wp:posOffset>
                </wp:positionH>
                <wp:positionV relativeFrom="paragraph">
                  <wp:posOffset>121920</wp:posOffset>
                </wp:positionV>
                <wp:extent cx="6664569" cy="0"/>
                <wp:effectExtent l="0" t="0" r="0" b="0"/>
                <wp:wrapNone/>
                <wp:docPr id="37045890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56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63718" id="Straight Connector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3.6pt,9.6pt" to="491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CB816CC" w14:textId="3E783F2B" w:rsidR="003B3976" w:rsidRDefault="003B3976">
      <w:pPr>
        <w:rPr>
          <w:b/>
          <w:highlight w:val="green"/>
        </w:rPr>
      </w:pPr>
      <w:r>
        <w:rPr>
          <w:b/>
          <w:highlight w:val="green"/>
        </w:rPr>
        <w:t>For 2023 C&amp;MS</w:t>
      </w:r>
    </w:p>
    <w:p w14:paraId="16BC1275" w14:textId="1C6DCC71" w:rsidR="007F0A87" w:rsidRDefault="003B3976">
      <w:pPr>
        <w:rPr>
          <w:b/>
        </w:rPr>
      </w:pPr>
      <w:r>
        <w:rPr>
          <w:b/>
        </w:rPr>
        <w:t>Supplement 1126 Developing and Submitting a Portland Cement Concrete Mix Design for Approval</w:t>
      </w:r>
    </w:p>
    <w:p w14:paraId="5733D646" w14:textId="5AA168A2" w:rsidR="003B3976" w:rsidRDefault="003B3976">
      <w:pPr>
        <w:rPr>
          <w:b/>
        </w:rPr>
      </w:pPr>
      <w:r>
        <w:rPr>
          <w:b/>
        </w:rPr>
        <w:t>SCD BP-2.2 Transverse Pavement Joints</w:t>
      </w:r>
    </w:p>
    <w:p w14:paraId="4E100405" w14:textId="10489728" w:rsidR="003B3976" w:rsidRDefault="003B3976">
      <w:pPr>
        <w:rPr>
          <w:b/>
        </w:rPr>
      </w:pPr>
      <w:r>
        <w:rPr>
          <w:b/>
        </w:rPr>
        <w:t>SCD BP-2.3 Pressure Relief Joint Type A</w:t>
      </w:r>
    </w:p>
    <w:p w14:paraId="345A2B84" w14:textId="20D88528" w:rsidR="003B3976" w:rsidRDefault="003B3976">
      <w:pPr>
        <w:rPr>
          <w:b/>
        </w:rPr>
      </w:pPr>
      <w:r>
        <w:rPr>
          <w:b/>
        </w:rPr>
        <w:t>SCD BP-2.5 Rigid Replacement</w:t>
      </w:r>
    </w:p>
    <w:sectPr w:rsidR="003B3976" w:rsidSect="00F57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2" w:right="1440" w:bottom="1170" w:left="1440" w:header="630" w:footer="3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92EC" w14:textId="77777777" w:rsidR="00146A65" w:rsidRDefault="00146A65" w:rsidP="00146A65">
      <w:pPr>
        <w:spacing w:after="0" w:line="240" w:lineRule="auto"/>
      </w:pPr>
      <w:r>
        <w:separator/>
      </w:r>
    </w:p>
  </w:endnote>
  <w:endnote w:type="continuationSeparator" w:id="0">
    <w:p w14:paraId="41362229" w14:textId="77777777" w:rsidR="00146A65" w:rsidRDefault="00146A65" w:rsidP="0014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0992" w14:textId="77777777" w:rsidR="00F45B1C" w:rsidRDefault="00F45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95847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15B9DDB0" w14:textId="77777777" w:rsidR="00BD6E85" w:rsidRPr="00BD6E85" w:rsidRDefault="00BD6E85">
        <w:pPr>
          <w:pStyle w:val="Footer"/>
          <w:jc w:val="right"/>
          <w:rPr>
            <w:sz w:val="18"/>
          </w:rPr>
        </w:pPr>
        <w:r w:rsidRPr="00BD6E85">
          <w:rPr>
            <w:sz w:val="18"/>
          </w:rPr>
          <w:fldChar w:fldCharType="begin"/>
        </w:r>
        <w:r w:rsidRPr="00BD6E85">
          <w:rPr>
            <w:sz w:val="18"/>
          </w:rPr>
          <w:instrText xml:space="preserve"> PAGE   \* MERGEFORMAT </w:instrText>
        </w:r>
        <w:r w:rsidRPr="00BD6E85">
          <w:rPr>
            <w:sz w:val="18"/>
          </w:rPr>
          <w:fldChar w:fldCharType="separate"/>
        </w:r>
        <w:r w:rsidRPr="00BD6E85">
          <w:rPr>
            <w:noProof/>
            <w:sz w:val="18"/>
          </w:rPr>
          <w:t>2</w:t>
        </w:r>
        <w:r w:rsidRPr="00BD6E85">
          <w:rPr>
            <w:noProof/>
            <w:sz w:val="18"/>
          </w:rPr>
          <w:fldChar w:fldCharType="end"/>
        </w:r>
      </w:p>
    </w:sdtContent>
  </w:sdt>
  <w:p w14:paraId="167A7764" w14:textId="77777777" w:rsidR="00BD6E85" w:rsidRDefault="00BD6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6560" w14:textId="77777777" w:rsidR="00F45B1C" w:rsidRDefault="00F45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CA2B" w14:textId="77777777" w:rsidR="00146A65" w:rsidRDefault="00146A65" w:rsidP="00146A65">
      <w:pPr>
        <w:spacing w:after="0" w:line="240" w:lineRule="auto"/>
      </w:pPr>
      <w:r>
        <w:separator/>
      </w:r>
    </w:p>
  </w:footnote>
  <w:footnote w:type="continuationSeparator" w:id="0">
    <w:p w14:paraId="39D1AB63" w14:textId="77777777" w:rsidR="00146A65" w:rsidRDefault="00146A65" w:rsidP="0014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6961" w14:textId="77777777" w:rsidR="00F45B1C" w:rsidRDefault="00F45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884427"/>
      <w:docPartObj>
        <w:docPartGallery w:val="Watermarks"/>
        <w:docPartUnique/>
      </w:docPartObj>
    </w:sdtPr>
    <w:sdtEndPr/>
    <w:sdtContent>
      <w:p w14:paraId="715BAA1F" w14:textId="5FFEC4A2" w:rsidR="00F45B1C" w:rsidRDefault="00BE77F7">
        <w:pPr>
          <w:pStyle w:val="Header"/>
        </w:pPr>
        <w:r>
          <w:rPr>
            <w:noProof/>
          </w:rPr>
          <w:pict w14:anchorId="0F6ACE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E3D1" w14:textId="77777777" w:rsidR="00F45B1C" w:rsidRDefault="00F45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3506A"/>
    <w:multiLevelType w:val="hybridMultilevel"/>
    <w:tmpl w:val="BAA259FC"/>
    <w:lvl w:ilvl="0" w:tplc="D73EE8A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B9B02B8"/>
    <w:multiLevelType w:val="hybridMultilevel"/>
    <w:tmpl w:val="D8F0F9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4031">
    <w:abstractNumId w:val="1"/>
  </w:num>
  <w:num w:numId="2" w16cid:durableId="4843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23"/>
    <w:rsid w:val="000125F1"/>
    <w:rsid w:val="000156EC"/>
    <w:rsid w:val="00027507"/>
    <w:rsid w:val="00032A68"/>
    <w:rsid w:val="00036984"/>
    <w:rsid w:val="0005175C"/>
    <w:rsid w:val="00061C42"/>
    <w:rsid w:val="000638C9"/>
    <w:rsid w:val="0008693E"/>
    <w:rsid w:val="000A2E0F"/>
    <w:rsid w:val="000B7A59"/>
    <w:rsid w:val="000E04A9"/>
    <w:rsid w:val="000F5605"/>
    <w:rsid w:val="001002FD"/>
    <w:rsid w:val="00111AC6"/>
    <w:rsid w:val="00111D85"/>
    <w:rsid w:val="001139B1"/>
    <w:rsid w:val="00127D89"/>
    <w:rsid w:val="00134C37"/>
    <w:rsid w:val="00136AB1"/>
    <w:rsid w:val="00146A65"/>
    <w:rsid w:val="001722A7"/>
    <w:rsid w:val="0019019F"/>
    <w:rsid w:val="00192D52"/>
    <w:rsid w:val="001960DF"/>
    <w:rsid w:val="001A1503"/>
    <w:rsid w:val="001A7307"/>
    <w:rsid w:val="001B3089"/>
    <w:rsid w:val="001B5FF2"/>
    <w:rsid w:val="001E0E21"/>
    <w:rsid w:val="001F1257"/>
    <w:rsid w:val="00204CC0"/>
    <w:rsid w:val="002130B5"/>
    <w:rsid w:val="0023298B"/>
    <w:rsid w:val="002578C7"/>
    <w:rsid w:val="00266CE8"/>
    <w:rsid w:val="00290111"/>
    <w:rsid w:val="00292396"/>
    <w:rsid w:val="00293FAA"/>
    <w:rsid w:val="00297CFD"/>
    <w:rsid w:val="002A092D"/>
    <w:rsid w:val="002B40BF"/>
    <w:rsid w:val="002C50E9"/>
    <w:rsid w:val="002D2ED1"/>
    <w:rsid w:val="002F3082"/>
    <w:rsid w:val="002F51D9"/>
    <w:rsid w:val="002F75DB"/>
    <w:rsid w:val="00300200"/>
    <w:rsid w:val="003007DA"/>
    <w:rsid w:val="00330A57"/>
    <w:rsid w:val="0035292D"/>
    <w:rsid w:val="00366B4F"/>
    <w:rsid w:val="00387190"/>
    <w:rsid w:val="003B1123"/>
    <w:rsid w:val="003B2171"/>
    <w:rsid w:val="003B3758"/>
    <w:rsid w:val="003B3976"/>
    <w:rsid w:val="003C72E8"/>
    <w:rsid w:val="003E4084"/>
    <w:rsid w:val="003F003B"/>
    <w:rsid w:val="003F6B0D"/>
    <w:rsid w:val="00404222"/>
    <w:rsid w:val="00415A35"/>
    <w:rsid w:val="00444DB0"/>
    <w:rsid w:val="004537C5"/>
    <w:rsid w:val="00467F45"/>
    <w:rsid w:val="00472591"/>
    <w:rsid w:val="00485278"/>
    <w:rsid w:val="00490A0E"/>
    <w:rsid w:val="0049666E"/>
    <w:rsid w:val="004A36F8"/>
    <w:rsid w:val="004A5E7C"/>
    <w:rsid w:val="004A7E95"/>
    <w:rsid w:val="004B2736"/>
    <w:rsid w:val="004B41D4"/>
    <w:rsid w:val="004B58EB"/>
    <w:rsid w:val="004C1441"/>
    <w:rsid w:val="004F2FC8"/>
    <w:rsid w:val="00501090"/>
    <w:rsid w:val="0050323B"/>
    <w:rsid w:val="00512293"/>
    <w:rsid w:val="00513F03"/>
    <w:rsid w:val="00520D57"/>
    <w:rsid w:val="005440DC"/>
    <w:rsid w:val="0056605E"/>
    <w:rsid w:val="00566126"/>
    <w:rsid w:val="00587F3C"/>
    <w:rsid w:val="005917B5"/>
    <w:rsid w:val="00596213"/>
    <w:rsid w:val="005A03B4"/>
    <w:rsid w:val="005B1066"/>
    <w:rsid w:val="005D6815"/>
    <w:rsid w:val="005F386A"/>
    <w:rsid w:val="006102A2"/>
    <w:rsid w:val="006104DB"/>
    <w:rsid w:val="00611653"/>
    <w:rsid w:val="00630B38"/>
    <w:rsid w:val="00632F1D"/>
    <w:rsid w:val="00634BD2"/>
    <w:rsid w:val="006433D9"/>
    <w:rsid w:val="006608F8"/>
    <w:rsid w:val="00661C33"/>
    <w:rsid w:val="00683CE5"/>
    <w:rsid w:val="00687931"/>
    <w:rsid w:val="006A5366"/>
    <w:rsid w:val="006B35BF"/>
    <w:rsid w:val="006E3E82"/>
    <w:rsid w:val="006F2733"/>
    <w:rsid w:val="006F470E"/>
    <w:rsid w:val="00714F7F"/>
    <w:rsid w:val="007345E3"/>
    <w:rsid w:val="007406E7"/>
    <w:rsid w:val="00770A36"/>
    <w:rsid w:val="007835AC"/>
    <w:rsid w:val="0078459C"/>
    <w:rsid w:val="007B2C5C"/>
    <w:rsid w:val="007C0C87"/>
    <w:rsid w:val="007C1032"/>
    <w:rsid w:val="007C4E81"/>
    <w:rsid w:val="007E48CB"/>
    <w:rsid w:val="007F0A87"/>
    <w:rsid w:val="007F2A53"/>
    <w:rsid w:val="007F42FA"/>
    <w:rsid w:val="00800A76"/>
    <w:rsid w:val="00800D1C"/>
    <w:rsid w:val="00811678"/>
    <w:rsid w:val="00816B48"/>
    <w:rsid w:val="00823A84"/>
    <w:rsid w:val="00831244"/>
    <w:rsid w:val="00852C72"/>
    <w:rsid w:val="0085377F"/>
    <w:rsid w:val="0086274A"/>
    <w:rsid w:val="00875B19"/>
    <w:rsid w:val="00886133"/>
    <w:rsid w:val="008953A8"/>
    <w:rsid w:val="008A16B8"/>
    <w:rsid w:val="008A4389"/>
    <w:rsid w:val="008B7E8A"/>
    <w:rsid w:val="008C24B5"/>
    <w:rsid w:val="008D078B"/>
    <w:rsid w:val="008E45B7"/>
    <w:rsid w:val="008E51E5"/>
    <w:rsid w:val="008E6CEC"/>
    <w:rsid w:val="00916921"/>
    <w:rsid w:val="00922635"/>
    <w:rsid w:val="00954E33"/>
    <w:rsid w:val="009706B9"/>
    <w:rsid w:val="00977308"/>
    <w:rsid w:val="00977C13"/>
    <w:rsid w:val="00980359"/>
    <w:rsid w:val="00985E98"/>
    <w:rsid w:val="00995C40"/>
    <w:rsid w:val="009D0084"/>
    <w:rsid w:val="009D0FAF"/>
    <w:rsid w:val="009F0B6D"/>
    <w:rsid w:val="00A02A50"/>
    <w:rsid w:val="00A4771D"/>
    <w:rsid w:val="00A65213"/>
    <w:rsid w:val="00A67FE1"/>
    <w:rsid w:val="00A8494A"/>
    <w:rsid w:val="00AA640E"/>
    <w:rsid w:val="00AD4166"/>
    <w:rsid w:val="00AE026A"/>
    <w:rsid w:val="00AE4703"/>
    <w:rsid w:val="00AF71DA"/>
    <w:rsid w:val="00B02348"/>
    <w:rsid w:val="00B04747"/>
    <w:rsid w:val="00B10E75"/>
    <w:rsid w:val="00B14500"/>
    <w:rsid w:val="00B33253"/>
    <w:rsid w:val="00B33E1D"/>
    <w:rsid w:val="00B408EB"/>
    <w:rsid w:val="00B45A9B"/>
    <w:rsid w:val="00B60F7E"/>
    <w:rsid w:val="00B619A7"/>
    <w:rsid w:val="00B83109"/>
    <w:rsid w:val="00B875AD"/>
    <w:rsid w:val="00B927E3"/>
    <w:rsid w:val="00B92BE1"/>
    <w:rsid w:val="00B96030"/>
    <w:rsid w:val="00BA3754"/>
    <w:rsid w:val="00BA5FB7"/>
    <w:rsid w:val="00BA65E1"/>
    <w:rsid w:val="00BA6B2A"/>
    <w:rsid w:val="00BA7028"/>
    <w:rsid w:val="00BB0311"/>
    <w:rsid w:val="00BB7867"/>
    <w:rsid w:val="00BC4D0F"/>
    <w:rsid w:val="00BD4535"/>
    <w:rsid w:val="00BD487B"/>
    <w:rsid w:val="00BD5CE7"/>
    <w:rsid w:val="00BD6E85"/>
    <w:rsid w:val="00BE3EFF"/>
    <w:rsid w:val="00BE77F7"/>
    <w:rsid w:val="00BE7F3A"/>
    <w:rsid w:val="00C26E35"/>
    <w:rsid w:val="00C414F5"/>
    <w:rsid w:val="00C5065D"/>
    <w:rsid w:val="00C55D71"/>
    <w:rsid w:val="00C678FE"/>
    <w:rsid w:val="00C82743"/>
    <w:rsid w:val="00C83BDE"/>
    <w:rsid w:val="00C84BFB"/>
    <w:rsid w:val="00C85DBE"/>
    <w:rsid w:val="00CB1E42"/>
    <w:rsid w:val="00CB6DF7"/>
    <w:rsid w:val="00CB74F1"/>
    <w:rsid w:val="00CC6DA5"/>
    <w:rsid w:val="00CD5FA5"/>
    <w:rsid w:val="00CD703A"/>
    <w:rsid w:val="00CE144C"/>
    <w:rsid w:val="00CF0D8C"/>
    <w:rsid w:val="00D006CF"/>
    <w:rsid w:val="00D043CF"/>
    <w:rsid w:val="00D36283"/>
    <w:rsid w:val="00D44584"/>
    <w:rsid w:val="00D52C16"/>
    <w:rsid w:val="00D7003C"/>
    <w:rsid w:val="00D75A33"/>
    <w:rsid w:val="00D807C0"/>
    <w:rsid w:val="00D842DA"/>
    <w:rsid w:val="00DD19A4"/>
    <w:rsid w:val="00DD6EE1"/>
    <w:rsid w:val="00DE025C"/>
    <w:rsid w:val="00DE490F"/>
    <w:rsid w:val="00E004EE"/>
    <w:rsid w:val="00E10F22"/>
    <w:rsid w:val="00E11352"/>
    <w:rsid w:val="00E375BE"/>
    <w:rsid w:val="00E37CDA"/>
    <w:rsid w:val="00E40D5A"/>
    <w:rsid w:val="00E4514C"/>
    <w:rsid w:val="00E6738F"/>
    <w:rsid w:val="00E71E30"/>
    <w:rsid w:val="00EC00B3"/>
    <w:rsid w:val="00EC665A"/>
    <w:rsid w:val="00ED3015"/>
    <w:rsid w:val="00EE1E12"/>
    <w:rsid w:val="00EE4583"/>
    <w:rsid w:val="00EF2157"/>
    <w:rsid w:val="00EF21E1"/>
    <w:rsid w:val="00F00F72"/>
    <w:rsid w:val="00F14E00"/>
    <w:rsid w:val="00F242A5"/>
    <w:rsid w:val="00F3408F"/>
    <w:rsid w:val="00F4142C"/>
    <w:rsid w:val="00F45B1C"/>
    <w:rsid w:val="00F5707C"/>
    <w:rsid w:val="00F61A31"/>
    <w:rsid w:val="00F87869"/>
    <w:rsid w:val="00F878CD"/>
    <w:rsid w:val="00FA2E3C"/>
    <w:rsid w:val="00FB1BF7"/>
    <w:rsid w:val="00FD7DAB"/>
    <w:rsid w:val="00FE077C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C68B667"/>
  <w15:chartTrackingRefBased/>
  <w15:docId w15:val="{00970DE0-47DB-434B-A2A3-04F512C1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0A7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A76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C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6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65"/>
  </w:style>
  <w:style w:type="paragraph" w:styleId="Footer">
    <w:name w:val="footer"/>
    <w:basedOn w:val="Normal"/>
    <w:link w:val="FooterChar"/>
    <w:uiPriority w:val="99"/>
    <w:unhideWhenUsed/>
    <w:rsid w:val="00146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65"/>
  </w:style>
  <w:style w:type="character" w:styleId="Hyperlink">
    <w:name w:val="Hyperlink"/>
    <w:basedOn w:val="DefaultParagraphFont"/>
    <w:uiPriority w:val="99"/>
    <w:unhideWhenUsed/>
    <w:rsid w:val="008E5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1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E5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5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1E5"/>
    <w:rPr>
      <w:rFonts w:ascii="Times New Roman" w:eastAsia="Times New Roman" w:hAnsi="Times New Roman" w:cs="Times New Roman"/>
      <w:sz w:val="20"/>
      <w:szCs w:val="20"/>
    </w:rPr>
  </w:style>
  <w:style w:type="paragraph" w:customStyle="1" w:styleId="1Indent1Paragraph">
    <w:name w:val="1 Indent 1 Paragraph"/>
    <w:basedOn w:val="Normal"/>
    <w:uiPriority w:val="99"/>
    <w:rsid w:val="004B2736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sectionParagraph">
    <w:name w:val="Subsection Paragraph"/>
    <w:basedOn w:val="Normal"/>
    <w:link w:val="SubsectionParagraphChar"/>
    <w:qFormat/>
    <w:rsid w:val="00D44584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 w:line="240" w:lineRule="auto"/>
      <w:ind w:firstLine="216"/>
      <w:jc w:val="both"/>
    </w:pPr>
    <w:rPr>
      <w:rFonts w:ascii="Times New Roman" w:eastAsia="Times New Roman" w:hAnsi="Times New Roman" w:cs="Times New Roman"/>
      <w:sz w:val="19"/>
      <w:szCs w:val="20"/>
    </w:rPr>
  </w:style>
  <w:style w:type="character" w:customStyle="1" w:styleId="SubsectionParagraphChar">
    <w:name w:val="Subsection Paragraph Char"/>
    <w:link w:val="SubsectionParagraph"/>
    <w:rsid w:val="00D44584"/>
    <w:rPr>
      <w:rFonts w:ascii="Times New Roman" w:eastAsia="Times New Roman" w:hAnsi="Times New Roman" w:cs="Times New Roman"/>
      <w:sz w:val="19"/>
      <w:szCs w:val="20"/>
    </w:rPr>
  </w:style>
  <w:style w:type="paragraph" w:styleId="Revision">
    <w:name w:val="Revision"/>
    <w:hidden/>
    <w:uiPriority w:val="99"/>
    <w:semiHidden/>
    <w:rsid w:val="00485278"/>
    <w:pPr>
      <w:spacing w:after="0" w:line="240" w:lineRule="auto"/>
    </w:pPr>
  </w:style>
  <w:style w:type="paragraph" w:customStyle="1" w:styleId="TableText">
    <w:name w:val="Table Text"/>
    <w:basedOn w:val="Normal"/>
    <w:rsid w:val="00D7003C"/>
    <w:pPr>
      <w:keepNext/>
      <w:spacing w:after="0" w:line="240" w:lineRule="auto"/>
      <w:ind w:left="144" w:hanging="144"/>
    </w:pPr>
    <w:rPr>
      <w:rFonts w:ascii="Times New Roman" w:eastAsia="Times New Roman" w:hAnsi="Times New Roman" w:cs="Times New Roman"/>
      <w:sz w:val="18"/>
      <w:szCs w:val="20"/>
    </w:rPr>
  </w:style>
  <w:style w:type="table" w:styleId="TableGrid">
    <w:name w:val="Table Grid"/>
    <w:basedOn w:val="TableNormal"/>
    <w:uiPriority w:val="39"/>
    <w:rsid w:val="007C0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erialList">
    <w:name w:val="Material List"/>
    <w:basedOn w:val="Normal"/>
    <w:rsid w:val="00F4142C"/>
    <w:pPr>
      <w:tabs>
        <w:tab w:val="right" w:leader="dot" w:pos="4608"/>
      </w:tabs>
      <w:spacing w:after="0" w:line="240" w:lineRule="auto"/>
      <w:ind w:left="648" w:hanging="216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45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.state.oh.us/Divisions/ConstructionMgt/Pages/ProposalNotesSupplementalSpecificationsandSupplements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dot.state.oh.us/Divisions/ConstructionMgt/Pages/ProposalNotesSupplementalSpecificationsandSupplements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462</Words>
  <Characters>2177</Characters>
  <Application>Microsoft Office Word</Application>
  <DocSecurity>0</DocSecurity>
  <Lines>123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Julia</dc:creator>
  <cp:keywords/>
  <dc:description/>
  <cp:lastModifiedBy>Kahlig, Eric</cp:lastModifiedBy>
  <cp:revision>9</cp:revision>
  <cp:lastPrinted>2019-12-10T13:06:00Z</cp:lastPrinted>
  <dcterms:created xsi:type="dcterms:W3CDTF">2025-11-04T13:12:00Z</dcterms:created>
  <dcterms:modified xsi:type="dcterms:W3CDTF">2025-12-17T22:36:00Z</dcterms:modified>
</cp:coreProperties>
</file>