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BD86" w14:textId="23970839" w:rsidR="00E572CC" w:rsidRPr="00536847" w:rsidRDefault="00E572CC" w:rsidP="00272F60">
      <w:pPr>
        <w:pStyle w:val="Section"/>
        <w:spacing w:before="0"/>
      </w:pPr>
      <w:r w:rsidRPr="00536847">
        <w:t>STATE OF OHIO</w:t>
      </w:r>
      <w:r w:rsidR="003532BD" w:rsidRPr="00536847">
        <w:br/>
      </w:r>
      <w:r w:rsidRPr="00536847">
        <w:t>DEPARTMENT OF TRANSPORTATION</w:t>
      </w:r>
    </w:p>
    <w:p w14:paraId="13F89E31" w14:textId="3A0178A7" w:rsidR="00E572CC" w:rsidRPr="00536847" w:rsidRDefault="00E572CC" w:rsidP="003532BD">
      <w:pPr>
        <w:pStyle w:val="Section"/>
      </w:pPr>
      <w:r w:rsidRPr="00536847">
        <w:t>SUPPLEMENTAL SPECIFICATION 837</w:t>
      </w:r>
      <w:r w:rsidR="003532BD" w:rsidRPr="00536847">
        <w:br/>
      </w:r>
      <w:r w:rsidRPr="00536847">
        <w:t>LINER PIPE</w:t>
      </w:r>
    </w:p>
    <w:p w14:paraId="43D96F7A" w14:textId="2F3CC829" w:rsidR="00E572CC" w:rsidRPr="00536847" w:rsidRDefault="00245CFE" w:rsidP="00104C9E">
      <w:pPr>
        <w:spacing w:after="240"/>
        <w:jc w:val="center"/>
        <w:rPr>
          <w:b/>
        </w:rPr>
      </w:pPr>
      <w:r>
        <w:rPr>
          <w:b/>
        </w:rPr>
        <w:t>J</w:t>
      </w:r>
      <w:r w:rsidR="002616BA">
        <w:rPr>
          <w:b/>
        </w:rPr>
        <w:t>anuar</w:t>
      </w:r>
      <w:r>
        <w:rPr>
          <w:b/>
        </w:rPr>
        <w:t xml:space="preserve">y </w:t>
      </w:r>
      <w:r w:rsidR="001417CF">
        <w:rPr>
          <w:b/>
        </w:rPr>
        <w:t>1</w:t>
      </w:r>
      <w:r w:rsidR="002616BA">
        <w:rPr>
          <w:b/>
        </w:rPr>
        <w:t>6</w:t>
      </w:r>
      <w:r w:rsidR="00D87F4B">
        <w:rPr>
          <w:b/>
        </w:rPr>
        <w:t xml:space="preserve">, </w:t>
      </w:r>
      <w:r w:rsidR="001417CF">
        <w:rPr>
          <w:b/>
        </w:rPr>
        <w:t>202</w:t>
      </w:r>
      <w:r w:rsidR="002616BA">
        <w:rPr>
          <w:b/>
        </w:rPr>
        <w:t>6</w:t>
      </w:r>
    </w:p>
    <w:p w14:paraId="07968593" w14:textId="77777777" w:rsidR="00931D5A" w:rsidRPr="00536847" w:rsidRDefault="00931D5A" w:rsidP="008526BC">
      <w:pPr>
        <w:pStyle w:val="SubsectionParagraphList"/>
      </w:pPr>
      <w:bookmarkStart w:id="0" w:name="_Toc254089032"/>
      <w:bookmarkStart w:id="1" w:name="_Toc254089093"/>
      <w:bookmarkStart w:id="2" w:name="_Toc254089097"/>
      <w:r w:rsidRPr="00536847">
        <w:t>837.01</w:t>
      </w:r>
      <w:r w:rsidRPr="00536847">
        <w:tab/>
        <w:t>Description</w:t>
      </w:r>
    </w:p>
    <w:p w14:paraId="598C15C1" w14:textId="013A84FE" w:rsidR="002B252B" w:rsidRPr="00536847" w:rsidRDefault="00931D5A" w:rsidP="008526BC">
      <w:pPr>
        <w:pStyle w:val="SubsectionParagraphList"/>
      </w:pPr>
      <w:r w:rsidRPr="00536847">
        <w:t>837.02</w:t>
      </w:r>
      <w:r w:rsidRPr="00536847">
        <w:tab/>
        <w:t>Materials</w:t>
      </w:r>
    </w:p>
    <w:p w14:paraId="6C49651E" w14:textId="77777777" w:rsidR="00931D5A" w:rsidRPr="00536847" w:rsidRDefault="00931D5A" w:rsidP="008526BC">
      <w:pPr>
        <w:pStyle w:val="SubsectionParagraphList"/>
      </w:pPr>
      <w:r w:rsidRPr="00536847">
        <w:t>837.03</w:t>
      </w:r>
      <w:r w:rsidRPr="00536847">
        <w:tab/>
        <w:t>Installation</w:t>
      </w:r>
    </w:p>
    <w:p w14:paraId="56B929CE" w14:textId="77777777" w:rsidR="00931D5A" w:rsidRPr="00536847" w:rsidRDefault="00931D5A" w:rsidP="008526BC">
      <w:pPr>
        <w:pStyle w:val="SubsectionParagraphList"/>
      </w:pPr>
      <w:r w:rsidRPr="00536847">
        <w:t>837.04</w:t>
      </w:r>
      <w:r w:rsidRPr="00536847">
        <w:tab/>
        <w:t>Method of Measurement</w:t>
      </w:r>
    </w:p>
    <w:p w14:paraId="1885B20F" w14:textId="77777777" w:rsidR="00931D5A" w:rsidRPr="00536847" w:rsidRDefault="00931D5A" w:rsidP="008526BC">
      <w:pPr>
        <w:pStyle w:val="SubsectionParagraphList"/>
      </w:pPr>
      <w:r w:rsidRPr="00536847">
        <w:t>837.05</w:t>
      </w:r>
      <w:r w:rsidRPr="00536847">
        <w:tab/>
        <w:t>Basis of Payment</w:t>
      </w:r>
    </w:p>
    <w:p w14:paraId="5C0CA457" w14:textId="77777777" w:rsidR="00104C9E" w:rsidRPr="00536847" w:rsidRDefault="00104C9E" w:rsidP="008526BC">
      <w:pPr>
        <w:pStyle w:val="SubsectionParagraphList"/>
      </w:pPr>
    </w:p>
    <w:p w14:paraId="6C0994F7" w14:textId="353CF4B4" w:rsidR="00E572CC" w:rsidRPr="00536847" w:rsidRDefault="00E572CC" w:rsidP="000F0305">
      <w:pPr>
        <w:pStyle w:val="SubsectionParagraph"/>
      </w:pPr>
      <w:bookmarkStart w:id="3" w:name="_Toc254089240"/>
      <w:bookmarkStart w:id="4" w:name="_Toc254089343"/>
      <w:bookmarkStart w:id="5" w:name="_Toc254089407"/>
      <w:bookmarkStart w:id="6" w:name="_Toc254097139"/>
      <w:r w:rsidRPr="00536847">
        <w:rPr>
          <w:rStyle w:val="SubsectionTitleChar"/>
        </w:rPr>
        <w:t>837.01</w:t>
      </w:r>
      <w:r w:rsidRPr="00536847">
        <w:rPr>
          <w:rStyle w:val="SubsectionTitleChar"/>
        </w:rPr>
        <w:tab/>
        <w:t>Description</w:t>
      </w:r>
      <w:bookmarkEnd w:id="0"/>
      <w:bookmarkEnd w:id="1"/>
      <w:bookmarkEnd w:id="2"/>
      <w:bookmarkEnd w:id="3"/>
      <w:bookmarkEnd w:id="4"/>
      <w:bookmarkEnd w:id="5"/>
      <w:bookmarkEnd w:id="6"/>
      <w:r w:rsidRPr="00536847">
        <w:t>.</w:t>
      </w:r>
      <w:r w:rsidR="00822FC1">
        <w:t xml:space="preserve"> </w:t>
      </w:r>
      <w:r w:rsidRPr="00536847">
        <w:t>This work consist</w:t>
      </w:r>
      <w:r w:rsidR="00131EBA" w:rsidRPr="00536847">
        <w:t>s</w:t>
      </w:r>
      <w:r w:rsidRPr="00536847">
        <w:t xml:space="preserve"> of</w:t>
      </w:r>
      <w:r w:rsidR="001363D0">
        <w:t xml:space="preserve"> </w:t>
      </w:r>
      <w:r w:rsidRPr="00536847">
        <w:t>furnishing</w:t>
      </w:r>
      <w:r w:rsidR="00B62CAB" w:rsidRPr="00536847">
        <w:t xml:space="preserve"> liner pipe</w:t>
      </w:r>
      <w:r w:rsidRPr="00536847">
        <w:t>,</w:t>
      </w:r>
      <w:r w:rsidR="001363D0">
        <w:t xml:space="preserve"> </w:t>
      </w:r>
      <w:r w:rsidR="00B62CAB" w:rsidRPr="00536847">
        <w:t xml:space="preserve">filling voids around existing conduits, </w:t>
      </w:r>
      <w:r w:rsidRPr="00536847">
        <w:t>installing</w:t>
      </w:r>
      <w:r w:rsidR="00B62CAB" w:rsidRPr="00536847">
        <w:t xml:space="preserve"> liner pipe</w:t>
      </w:r>
      <w:r w:rsidR="001363D0">
        <w:t>,</w:t>
      </w:r>
      <w:r w:rsidRPr="00536847">
        <w:t xml:space="preserve"> and grouting liner pipe into existing conduits </w:t>
      </w:r>
      <w:r w:rsidR="00B62CAB" w:rsidRPr="00536847">
        <w:t xml:space="preserve">as </w:t>
      </w:r>
      <w:r w:rsidRPr="00536847">
        <w:t>shown on the plans.</w:t>
      </w:r>
    </w:p>
    <w:p w14:paraId="46A4AF22" w14:textId="3A9CC715" w:rsidR="00E572CC" w:rsidRDefault="00E572CC" w:rsidP="000F0305">
      <w:pPr>
        <w:pStyle w:val="SubsectionParagraph"/>
      </w:pPr>
      <w:bookmarkStart w:id="7" w:name="_Toc254089408"/>
      <w:bookmarkStart w:id="8" w:name="_Toc254097140"/>
      <w:r w:rsidRPr="00536847">
        <w:rPr>
          <w:rStyle w:val="SubsectionTitleChar"/>
        </w:rPr>
        <w:t>837.02</w:t>
      </w:r>
      <w:r w:rsidRPr="00536847">
        <w:rPr>
          <w:rStyle w:val="SubsectionTitleChar"/>
        </w:rPr>
        <w:tab/>
        <w:t>Material</w:t>
      </w:r>
      <w:bookmarkEnd w:id="7"/>
      <w:r w:rsidR="00DE477D" w:rsidRPr="00536847">
        <w:rPr>
          <w:rStyle w:val="SubsectionTitleChar"/>
        </w:rPr>
        <w:t>s</w:t>
      </w:r>
      <w:bookmarkEnd w:id="8"/>
      <w:r w:rsidRPr="00536847">
        <w:t>.</w:t>
      </w:r>
      <w:r w:rsidR="00822FC1">
        <w:t xml:space="preserve"> </w:t>
      </w:r>
      <w:proofErr w:type="gramStart"/>
      <w:r w:rsidR="00DE477D" w:rsidRPr="00536847">
        <w:t>Furnish</w:t>
      </w:r>
      <w:proofErr w:type="gramEnd"/>
      <w:r w:rsidR="00DE477D" w:rsidRPr="00536847">
        <w:t xml:space="preserve"> </w:t>
      </w:r>
      <w:r w:rsidR="00F62F1A" w:rsidRPr="00536847">
        <w:t xml:space="preserve">materials </w:t>
      </w:r>
      <w:proofErr w:type="gramStart"/>
      <w:r w:rsidR="00F62F1A" w:rsidRPr="00536847">
        <w:t>conforming</w:t>
      </w:r>
      <w:proofErr w:type="gramEnd"/>
      <w:r w:rsidR="00F62F1A" w:rsidRPr="00536847">
        <w:t xml:space="preserve"> to the </w:t>
      </w:r>
      <w:r w:rsidR="00DE477D" w:rsidRPr="00536847">
        <w:t>following, with additional requirements as listed below:</w:t>
      </w:r>
    </w:p>
    <w:tbl>
      <w:tblPr>
        <w:tblW w:w="0" w:type="auto"/>
        <w:jc w:val="center"/>
        <w:tblLook w:val="01E0" w:firstRow="1" w:lastRow="1" w:firstColumn="1" w:lastColumn="1" w:noHBand="0" w:noVBand="0"/>
      </w:tblPr>
      <w:tblGrid>
        <w:gridCol w:w="8185"/>
      </w:tblGrid>
      <w:tr w:rsidR="0047420D" w:rsidRPr="00536847" w14:paraId="3CA11D87" w14:textId="77777777" w:rsidTr="005F5B4C">
        <w:trPr>
          <w:cantSplit/>
          <w:jc w:val="center"/>
        </w:trPr>
        <w:tc>
          <w:tcPr>
            <w:tcW w:w="8185" w:type="dxa"/>
            <w:vAlign w:val="center"/>
          </w:tcPr>
          <w:p w14:paraId="016B9E47" w14:textId="5DF97009" w:rsidR="004B162A" w:rsidRPr="004B162A" w:rsidRDefault="00BF62B6" w:rsidP="005F5B4C">
            <w:pPr>
              <w:pStyle w:val="BodyText"/>
              <w:tabs>
                <w:tab w:val="right" w:leader="dot" w:pos="6769"/>
              </w:tabs>
              <w:spacing w:after="0"/>
              <w:contextualSpacing/>
            </w:pPr>
            <w:r>
              <w:t>Water</w:t>
            </w:r>
            <w:r w:rsidRPr="008B0A70">
              <w:t>...............................................................................................</w:t>
            </w:r>
            <w:r>
              <w:t>499.02</w:t>
            </w:r>
          </w:p>
        </w:tc>
      </w:tr>
      <w:tr w:rsidR="00BF62B6" w:rsidRPr="00536847" w14:paraId="67DB154A" w14:textId="77777777" w:rsidTr="005F5B4C">
        <w:trPr>
          <w:cantSplit/>
          <w:jc w:val="center"/>
        </w:trPr>
        <w:tc>
          <w:tcPr>
            <w:tcW w:w="8185" w:type="dxa"/>
            <w:vAlign w:val="center"/>
          </w:tcPr>
          <w:p w14:paraId="2FB257B2" w14:textId="3ECF5AB9" w:rsidR="00BF62B6" w:rsidRPr="008B0A70" w:rsidRDefault="00BF62B6" w:rsidP="005F5B4C">
            <w:pPr>
              <w:pStyle w:val="BodyText"/>
              <w:tabs>
                <w:tab w:val="right" w:leader="dot" w:pos="6769"/>
              </w:tabs>
              <w:spacing w:after="0"/>
              <w:contextualSpacing/>
            </w:pPr>
            <w:r w:rsidRPr="00ED005C">
              <w:t>Mortar</w:t>
            </w:r>
            <w:r w:rsidRPr="008B0A70">
              <w:t>...................................................................................................</w:t>
            </w:r>
            <w:r w:rsidRPr="00ED005C">
              <w:t>602</w:t>
            </w:r>
          </w:p>
        </w:tc>
      </w:tr>
      <w:tr w:rsidR="00BF62B6" w:rsidRPr="00536847" w14:paraId="05060991" w14:textId="77777777" w:rsidTr="005F5B4C">
        <w:trPr>
          <w:cantSplit/>
          <w:jc w:val="center"/>
        </w:trPr>
        <w:tc>
          <w:tcPr>
            <w:tcW w:w="8185" w:type="dxa"/>
            <w:vAlign w:val="center"/>
          </w:tcPr>
          <w:p w14:paraId="27731554" w14:textId="6187841E" w:rsidR="00BF62B6" w:rsidRPr="008B0A70" w:rsidRDefault="00BF62B6" w:rsidP="005F5B4C">
            <w:pPr>
              <w:pStyle w:val="BodyText"/>
              <w:tabs>
                <w:tab w:val="right" w:leader="dot" w:pos="6769"/>
              </w:tabs>
              <w:spacing w:after="0"/>
              <w:contextualSpacing/>
            </w:pPr>
            <w:r w:rsidRPr="008B0A70">
              <w:t>Portland Cement....................................................701.01, 701.02, 701.04</w:t>
            </w:r>
          </w:p>
        </w:tc>
      </w:tr>
      <w:tr w:rsidR="00BF62B6" w:rsidRPr="00536847" w14:paraId="3A2E9529" w14:textId="77777777" w:rsidTr="005F5B4C">
        <w:trPr>
          <w:cantSplit/>
          <w:jc w:val="center"/>
        </w:trPr>
        <w:tc>
          <w:tcPr>
            <w:tcW w:w="8185" w:type="dxa"/>
            <w:vAlign w:val="center"/>
          </w:tcPr>
          <w:p w14:paraId="41CB9562" w14:textId="7F5FE810" w:rsidR="00BF62B6" w:rsidRPr="008B0A70" w:rsidRDefault="00BF62B6" w:rsidP="005F5B4C">
            <w:pPr>
              <w:pStyle w:val="BodyText"/>
              <w:tabs>
                <w:tab w:val="right" w:leader="dot" w:pos="6769"/>
              </w:tabs>
              <w:spacing w:after="0"/>
              <w:contextualSpacing/>
            </w:pPr>
            <w:r w:rsidRPr="008B0A70">
              <w:t>Slag Cement....................................................................................701.11</w:t>
            </w:r>
          </w:p>
        </w:tc>
      </w:tr>
      <w:tr w:rsidR="0047420D" w:rsidRPr="00536847" w14:paraId="0CE18049" w14:textId="77777777" w:rsidTr="005F5B4C">
        <w:trPr>
          <w:cantSplit/>
          <w:jc w:val="center"/>
        </w:trPr>
        <w:tc>
          <w:tcPr>
            <w:tcW w:w="8185" w:type="dxa"/>
            <w:vAlign w:val="center"/>
          </w:tcPr>
          <w:p w14:paraId="0BF68E27" w14:textId="19D86CE0" w:rsidR="004B162A" w:rsidRPr="00536847" w:rsidRDefault="004B162A" w:rsidP="005F5B4C">
            <w:pPr>
              <w:pStyle w:val="TableText"/>
            </w:pPr>
            <w:r w:rsidRPr="008B0A70">
              <w:t>Fly Ash</w:t>
            </w:r>
            <w:r w:rsidR="00725674" w:rsidRPr="008B0A70">
              <w:t>............................................................................................</w:t>
            </w:r>
            <w:r w:rsidRPr="008B0A70">
              <w:t>701.13</w:t>
            </w:r>
          </w:p>
        </w:tc>
      </w:tr>
      <w:tr w:rsidR="0047420D" w:rsidRPr="00536847" w14:paraId="44122F27" w14:textId="77777777" w:rsidTr="005F5B4C">
        <w:trPr>
          <w:cantSplit/>
          <w:jc w:val="center"/>
        </w:trPr>
        <w:tc>
          <w:tcPr>
            <w:tcW w:w="8185" w:type="dxa"/>
            <w:vAlign w:val="center"/>
          </w:tcPr>
          <w:p w14:paraId="24E3063E" w14:textId="3389AC97" w:rsidR="004B162A" w:rsidRPr="00536847" w:rsidRDefault="004B162A" w:rsidP="005F5B4C">
            <w:pPr>
              <w:pStyle w:val="TableText"/>
            </w:pPr>
            <w:r w:rsidRPr="00536847">
              <w:t>Corrugated steel pipe</w:t>
            </w:r>
            <w:r w:rsidR="00725674" w:rsidRPr="008B0A70">
              <w:t>......................................................</w:t>
            </w:r>
            <w:r w:rsidRPr="00536847">
              <w:t>707.01 or 707.02</w:t>
            </w:r>
          </w:p>
        </w:tc>
      </w:tr>
      <w:tr w:rsidR="00DF2A57" w:rsidRPr="00536847" w14:paraId="7C0A782D" w14:textId="77777777" w:rsidTr="005F5B4C">
        <w:trPr>
          <w:cantSplit/>
          <w:jc w:val="center"/>
        </w:trPr>
        <w:tc>
          <w:tcPr>
            <w:tcW w:w="8185" w:type="dxa"/>
            <w:vAlign w:val="center"/>
          </w:tcPr>
          <w:p w14:paraId="6A4BE12D" w14:textId="2322D694" w:rsidR="004B162A" w:rsidRPr="00536847" w:rsidRDefault="004B162A" w:rsidP="005F5B4C">
            <w:pPr>
              <w:pStyle w:val="TableText"/>
            </w:pPr>
            <w:r w:rsidRPr="00536847">
              <w:t>Structural plate corrugated steel structure</w:t>
            </w:r>
            <w:r w:rsidR="00725674" w:rsidRPr="008B0A70">
              <w:t>...........................</w:t>
            </w:r>
            <w:r w:rsidR="0047420D" w:rsidRPr="008B0A70">
              <w:t>..</w:t>
            </w:r>
            <w:r w:rsidR="00725674" w:rsidRPr="008B0A70">
              <w:t>..........</w:t>
            </w:r>
            <w:r w:rsidRPr="00536847">
              <w:t>707.03</w:t>
            </w:r>
          </w:p>
        </w:tc>
      </w:tr>
      <w:tr w:rsidR="00DF2A57" w:rsidRPr="00536847" w14:paraId="5AD189AB" w14:textId="77777777" w:rsidTr="005F5B4C">
        <w:trPr>
          <w:cantSplit/>
          <w:jc w:val="center"/>
        </w:trPr>
        <w:tc>
          <w:tcPr>
            <w:tcW w:w="8185" w:type="dxa"/>
            <w:vAlign w:val="center"/>
          </w:tcPr>
          <w:p w14:paraId="25E845FC" w14:textId="42DB7B27" w:rsidR="004B162A" w:rsidRPr="00536847" w:rsidRDefault="004B162A" w:rsidP="005F5B4C">
            <w:pPr>
              <w:pStyle w:val="TableText"/>
            </w:pPr>
            <w:r w:rsidRPr="00536847">
              <w:t>Precoated, galvanized steel culvert</w:t>
            </w:r>
            <w:r w:rsidR="00725674" w:rsidRPr="008B0A70">
              <w:t>.................................................</w:t>
            </w:r>
            <w:r w:rsidRPr="00536847">
              <w:t>707.04</w:t>
            </w:r>
          </w:p>
        </w:tc>
      </w:tr>
      <w:tr w:rsidR="00DF2A57" w:rsidRPr="00536847" w14:paraId="2E8A3083" w14:textId="77777777" w:rsidTr="005F5B4C">
        <w:trPr>
          <w:cantSplit/>
          <w:jc w:val="center"/>
        </w:trPr>
        <w:tc>
          <w:tcPr>
            <w:tcW w:w="8185" w:type="dxa"/>
            <w:vAlign w:val="center"/>
          </w:tcPr>
          <w:p w14:paraId="58B18D65" w14:textId="2514D412" w:rsidR="004B162A" w:rsidRPr="00536847" w:rsidRDefault="004B162A" w:rsidP="005F5B4C">
            <w:pPr>
              <w:pStyle w:val="TableText"/>
            </w:pPr>
            <w:r w:rsidRPr="00D74B16">
              <w:t>Polymer</w:t>
            </w:r>
            <w:r>
              <w:t>-pre</w:t>
            </w:r>
            <w:r w:rsidRPr="00D74B16">
              <w:t>coated corrugated steel spiral rib pipe</w:t>
            </w:r>
            <w:r w:rsidR="00725674" w:rsidRPr="008B0A70">
              <w:t>..............</w:t>
            </w:r>
            <w:r w:rsidR="0047420D" w:rsidRPr="008B0A70">
              <w:t>...</w:t>
            </w:r>
            <w:r w:rsidR="00725674" w:rsidRPr="008B0A70">
              <w:t>........</w:t>
            </w:r>
            <w:r w:rsidRPr="00D74B16">
              <w:t>707.11</w:t>
            </w:r>
          </w:p>
        </w:tc>
      </w:tr>
      <w:tr w:rsidR="00DF2A57" w:rsidRPr="00536847" w14:paraId="69AA7B81" w14:textId="77777777" w:rsidTr="005F5B4C">
        <w:trPr>
          <w:cantSplit/>
          <w:jc w:val="center"/>
        </w:trPr>
        <w:tc>
          <w:tcPr>
            <w:tcW w:w="8185" w:type="dxa"/>
            <w:vAlign w:val="center"/>
          </w:tcPr>
          <w:p w14:paraId="10AD7692" w14:textId="59089622" w:rsidR="004B162A" w:rsidRPr="00536847" w:rsidRDefault="004B162A" w:rsidP="005F5B4C">
            <w:pPr>
              <w:pStyle w:val="TableText"/>
            </w:pPr>
            <w:r w:rsidRPr="00536847">
              <w:t>Corrugated steel spiral rib pipe</w:t>
            </w:r>
            <w:r w:rsidR="00725674" w:rsidRPr="008B0A70">
              <w:t>.......................................................</w:t>
            </w:r>
            <w:r w:rsidRPr="00536847">
              <w:t>707.12</w:t>
            </w:r>
          </w:p>
        </w:tc>
      </w:tr>
      <w:tr w:rsidR="00DF2A57" w:rsidRPr="00536847" w14:paraId="1D197BC0" w14:textId="77777777" w:rsidTr="005F5B4C">
        <w:trPr>
          <w:cantSplit/>
          <w:jc w:val="center"/>
        </w:trPr>
        <w:tc>
          <w:tcPr>
            <w:tcW w:w="8185" w:type="dxa"/>
            <w:vAlign w:val="center"/>
          </w:tcPr>
          <w:p w14:paraId="492EA269" w14:textId="4BB35CE9" w:rsidR="004B162A" w:rsidRPr="00536847" w:rsidRDefault="004B162A" w:rsidP="005F5B4C">
            <w:pPr>
              <w:pStyle w:val="TableText"/>
            </w:pPr>
            <w:r w:rsidRPr="00536847">
              <w:t>Polymer precoated, galvanized steel conduit</w:t>
            </w:r>
            <w:r w:rsidR="004559AA">
              <w:t>s</w:t>
            </w:r>
            <w:r w:rsidR="00725674" w:rsidRPr="008B0A70">
              <w:t>................................</w:t>
            </w:r>
            <w:r w:rsidRPr="00536847">
              <w:t>707.18</w:t>
            </w:r>
          </w:p>
        </w:tc>
      </w:tr>
      <w:tr w:rsidR="00DF2A57" w:rsidRPr="00536847" w14:paraId="17D523D5" w14:textId="77777777" w:rsidTr="005F5B4C">
        <w:trPr>
          <w:cantSplit/>
          <w:jc w:val="center"/>
        </w:trPr>
        <w:tc>
          <w:tcPr>
            <w:tcW w:w="8185" w:type="dxa"/>
            <w:vAlign w:val="center"/>
          </w:tcPr>
          <w:p w14:paraId="00A6BE0A" w14:textId="2584F405" w:rsidR="004B162A" w:rsidRPr="00536847" w:rsidRDefault="00996C2E" w:rsidP="005F5B4C">
            <w:pPr>
              <w:pStyle w:val="TableText"/>
            </w:pPr>
            <w:r w:rsidRPr="00536847">
              <w:t>Corrugated aluminum</w:t>
            </w:r>
            <w:r>
              <w:t xml:space="preserve"> alloy</w:t>
            </w:r>
            <w:r w:rsidR="004B162A" w:rsidRPr="00536847">
              <w:t xml:space="preserve"> conduits</w:t>
            </w:r>
            <w:r w:rsidR="00725674" w:rsidRPr="008B0A70">
              <w:t>.........................</w:t>
            </w:r>
            <w:r w:rsidR="00BF62B6">
              <w:t>.</w:t>
            </w:r>
            <w:r w:rsidR="00725674" w:rsidRPr="008B0A70">
              <w:t>...</w:t>
            </w:r>
            <w:r w:rsidR="004B162A" w:rsidRPr="00536847">
              <w:t>707.21 or 707.22</w:t>
            </w:r>
          </w:p>
        </w:tc>
      </w:tr>
      <w:tr w:rsidR="00DF2A57" w:rsidRPr="00536847" w14:paraId="15AABFCD" w14:textId="77777777" w:rsidTr="005F5B4C">
        <w:trPr>
          <w:cantSplit/>
          <w:jc w:val="center"/>
        </w:trPr>
        <w:tc>
          <w:tcPr>
            <w:tcW w:w="8185" w:type="dxa"/>
            <w:vAlign w:val="center"/>
          </w:tcPr>
          <w:p w14:paraId="540D19FC" w14:textId="41FCADFB" w:rsidR="004B162A" w:rsidRPr="00536847" w:rsidRDefault="004B162A" w:rsidP="005F5B4C">
            <w:pPr>
              <w:pStyle w:val="TableText"/>
            </w:pPr>
            <w:r w:rsidRPr="00536847">
              <w:t>Aluminum alloy structural plate conduit</w:t>
            </w:r>
            <w:r w:rsidR="00725674" w:rsidRPr="008B0A70">
              <w:t>........................................</w:t>
            </w:r>
            <w:r w:rsidRPr="00536847">
              <w:t>707.23</w:t>
            </w:r>
          </w:p>
        </w:tc>
      </w:tr>
      <w:tr w:rsidR="00DF2A57" w:rsidRPr="00536847" w14:paraId="6F3730A0" w14:textId="77777777" w:rsidTr="005F5B4C">
        <w:trPr>
          <w:cantSplit/>
          <w:jc w:val="center"/>
        </w:trPr>
        <w:tc>
          <w:tcPr>
            <w:tcW w:w="8185" w:type="dxa"/>
            <w:vAlign w:val="center"/>
          </w:tcPr>
          <w:p w14:paraId="3904261E" w14:textId="15AB4875" w:rsidR="004B162A" w:rsidRPr="00536847" w:rsidRDefault="004B162A" w:rsidP="005F5B4C">
            <w:pPr>
              <w:pStyle w:val="TableText"/>
            </w:pPr>
            <w:r w:rsidRPr="00536847">
              <w:t>Corrugated aluminum spiral rib pipe</w:t>
            </w:r>
            <w:r w:rsidR="00725674" w:rsidRPr="008B0A70">
              <w:t>..............................................</w:t>
            </w:r>
            <w:r w:rsidRPr="00536847">
              <w:t>707.24</w:t>
            </w:r>
          </w:p>
        </w:tc>
      </w:tr>
      <w:tr w:rsidR="00DF2A57" w:rsidRPr="00536847" w14:paraId="5CAC2DDB" w14:textId="77777777" w:rsidTr="005F5B4C">
        <w:trPr>
          <w:cantSplit/>
          <w:jc w:val="center"/>
        </w:trPr>
        <w:tc>
          <w:tcPr>
            <w:tcW w:w="8185" w:type="dxa"/>
            <w:vAlign w:val="center"/>
          </w:tcPr>
          <w:p w14:paraId="73AA05C4" w14:textId="670774E9" w:rsidR="004B162A" w:rsidRPr="00536847" w:rsidRDefault="004B162A" w:rsidP="005F5B4C">
            <w:pPr>
              <w:pStyle w:val="TableText"/>
            </w:pPr>
            <w:r w:rsidRPr="004B162A">
              <w:t>Corrugated polyethylene smooth lined pipe</w:t>
            </w:r>
            <w:r w:rsidR="00725674" w:rsidRPr="008B0A70">
              <w:t>...................................</w:t>
            </w:r>
            <w:r w:rsidRPr="004B162A">
              <w:t>707.33</w:t>
            </w:r>
          </w:p>
        </w:tc>
      </w:tr>
      <w:tr w:rsidR="00DF2A57" w:rsidRPr="00536847" w14:paraId="7B1B9EB9" w14:textId="77777777" w:rsidTr="005F5B4C">
        <w:trPr>
          <w:cantSplit/>
          <w:jc w:val="center"/>
        </w:trPr>
        <w:tc>
          <w:tcPr>
            <w:tcW w:w="8185" w:type="dxa"/>
            <w:vAlign w:val="center"/>
          </w:tcPr>
          <w:p w14:paraId="7865F958" w14:textId="241D08A1" w:rsidR="004B162A" w:rsidRPr="00536847" w:rsidRDefault="004B162A" w:rsidP="005F5B4C">
            <w:pPr>
              <w:pStyle w:val="TableText"/>
            </w:pPr>
            <w:r w:rsidRPr="004B162A">
              <w:t>Polyethylene plastic pipe based on outside diameter (OD)</w:t>
            </w:r>
            <w:r w:rsidR="00725674" w:rsidRPr="008B0A70">
              <w:t xml:space="preserve"> ...........</w:t>
            </w:r>
            <w:r w:rsidRPr="004B162A">
              <w:t>707.34</w:t>
            </w:r>
          </w:p>
        </w:tc>
      </w:tr>
      <w:tr w:rsidR="00DF2A57" w:rsidRPr="00536847" w14:paraId="139F37E1" w14:textId="77777777" w:rsidTr="005F5B4C">
        <w:trPr>
          <w:cantSplit/>
          <w:jc w:val="center"/>
        </w:trPr>
        <w:tc>
          <w:tcPr>
            <w:tcW w:w="8185" w:type="dxa"/>
            <w:vAlign w:val="center"/>
          </w:tcPr>
          <w:p w14:paraId="1C01FEF8" w14:textId="08E0D73E" w:rsidR="004B162A" w:rsidRPr="004B162A" w:rsidRDefault="004B162A" w:rsidP="005F5B4C">
            <w:pPr>
              <w:pStyle w:val="TableText"/>
            </w:pPr>
            <w:r w:rsidRPr="004B162A">
              <w:t>Polyethylene profile wall pipe</w:t>
            </w:r>
            <w:r w:rsidR="00725674" w:rsidRPr="008B0A70">
              <w:t>........................................................</w:t>
            </w:r>
            <w:r w:rsidRPr="004B162A">
              <w:t>707.35</w:t>
            </w:r>
          </w:p>
        </w:tc>
      </w:tr>
      <w:tr w:rsidR="00DF2A57" w:rsidRPr="00536847" w14:paraId="1DA787A0" w14:textId="77777777" w:rsidTr="005F5B4C">
        <w:trPr>
          <w:cantSplit/>
          <w:jc w:val="center"/>
        </w:trPr>
        <w:tc>
          <w:tcPr>
            <w:tcW w:w="8185" w:type="dxa"/>
            <w:vAlign w:val="center"/>
          </w:tcPr>
          <w:p w14:paraId="21859B67" w14:textId="34AE1554" w:rsidR="004B162A" w:rsidRPr="004B162A" w:rsidRDefault="004B162A" w:rsidP="005F5B4C">
            <w:pPr>
              <w:pStyle w:val="TableText"/>
            </w:pPr>
            <w:r w:rsidRPr="00536847">
              <w:t>Polyvinyl chloride corrugated smooth interior pipe</w:t>
            </w:r>
            <w:r w:rsidR="00725674" w:rsidRPr="008B0A70">
              <w:t>.......................</w:t>
            </w:r>
            <w:r w:rsidRPr="00536847">
              <w:t>707.42</w:t>
            </w:r>
          </w:p>
        </w:tc>
      </w:tr>
      <w:tr w:rsidR="00DF2A57" w:rsidRPr="00536847" w14:paraId="08BC4BDE" w14:textId="77777777" w:rsidTr="005F5B4C">
        <w:trPr>
          <w:cantSplit/>
          <w:jc w:val="center"/>
        </w:trPr>
        <w:tc>
          <w:tcPr>
            <w:tcW w:w="8185" w:type="dxa"/>
            <w:vAlign w:val="center"/>
          </w:tcPr>
          <w:p w14:paraId="7E366B38" w14:textId="2FF3E3FE" w:rsidR="004B162A" w:rsidRPr="004B162A" w:rsidRDefault="004B162A" w:rsidP="005F5B4C">
            <w:pPr>
              <w:pStyle w:val="TableText"/>
            </w:pPr>
            <w:r w:rsidRPr="00536847">
              <w:t>Polyvinyl chloride profile wall pipe</w:t>
            </w:r>
            <w:r w:rsidR="00725674" w:rsidRPr="008B0A70">
              <w:t>...............................................</w:t>
            </w:r>
            <w:r w:rsidRPr="00536847">
              <w:t>707.43</w:t>
            </w:r>
          </w:p>
        </w:tc>
      </w:tr>
      <w:tr w:rsidR="001774EA" w:rsidRPr="00536847" w14:paraId="35ED1B6F" w14:textId="77777777" w:rsidTr="005F5B4C">
        <w:trPr>
          <w:cantSplit/>
          <w:jc w:val="center"/>
        </w:trPr>
        <w:tc>
          <w:tcPr>
            <w:tcW w:w="8185" w:type="dxa"/>
            <w:vAlign w:val="center"/>
          </w:tcPr>
          <w:p w14:paraId="72760D67" w14:textId="446784E9" w:rsidR="001774EA" w:rsidRPr="00536847" w:rsidRDefault="001774EA" w:rsidP="005F5B4C">
            <w:pPr>
              <w:pStyle w:val="TableText"/>
            </w:pPr>
            <w:r w:rsidRPr="00536847">
              <w:t>Glass-fiber-reinforced polymer mortar pipe</w:t>
            </w:r>
            <w:r w:rsidRPr="008B0A70">
              <w:t>...................................</w:t>
            </w:r>
            <w:r w:rsidRPr="00536847">
              <w:t>707.75</w:t>
            </w:r>
          </w:p>
        </w:tc>
      </w:tr>
      <w:tr w:rsidR="001774EA" w:rsidRPr="00536847" w14:paraId="19BA577F" w14:textId="77777777" w:rsidTr="005F5B4C">
        <w:trPr>
          <w:cantSplit/>
          <w:jc w:val="center"/>
        </w:trPr>
        <w:tc>
          <w:tcPr>
            <w:tcW w:w="8185" w:type="dxa"/>
            <w:vAlign w:val="center"/>
          </w:tcPr>
          <w:p w14:paraId="2F242C0A" w14:textId="79A9007F" w:rsidR="001774EA" w:rsidRPr="00536847" w:rsidRDefault="001774EA" w:rsidP="005F5B4C">
            <w:pPr>
              <w:pStyle w:val="TableText"/>
            </w:pPr>
            <w:r w:rsidRPr="00536847">
              <w:t>Steel reinforced thermoplastic ribbed pipe</w:t>
            </w:r>
            <w:r w:rsidRPr="008B0A70">
              <w:t>.....................................</w:t>
            </w:r>
            <w:r>
              <w:t>707.85</w:t>
            </w:r>
          </w:p>
        </w:tc>
      </w:tr>
      <w:tr w:rsidR="00DF2A57" w:rsidRPr="00536847" w14:paraId="6AB720EB" w14:textId="77777777" w:rsidTr="005F5B4C">
        <w:trPr>
          <w:cantSplit/>
          <w:jc w:val="center"/>
        </w:trPr>
        <w:tc>
          <w:tcPr>
            <w:tcW w:w="8185" w:type="dxa"/>
            <w:vAlign w:val="center"/>
          </w:tcPr>
          <w:p w14:paraId="685046C0" w14:textId="3BE66662" w:rsidR="004B162A" w:rsidRPr="004B162A" w:rsidRDefault="004B162A" w:rsidP="005F5B4C">
            <w:pPr>
              <w:pStyle w:val="MaterialList"/>
              <w:ind w:left="0" w:firstLine="0"/>
              <w:jc w:val="left"/>
            </w:pPr>
            <w:r w:rsidRPr="00536847">
              <w:t>Steel casing pipe</w:t>
            </w:r>
            <w:r w:rsidR="00725674" w:rsidRPr="008B0A70">
              <w:t>.............................................................................</w:t>
            </w:r>
            <w:r w:rsidRPr="00536847">
              <w:t>748.06</w:t>
            </w:r>
          </w:p>
        </w:tc>
      </w:tr>
    </w:tbl>
    <w:p w14:paraId="159D726A" w14:textId="354C62FA" w:rsidR="00DE477D" w:rsidRDefault="00DE477D" w:rsidP="004B162A">
      <w:pPr>
        <w:pStyle w:val="BodyText"/>
        <w:tabs>
          <w:tab w:val="right" w:leader="dot" w:pos="6769"/>
        </w:tabs>
        <w:spacing w:after="0"/>
        <w:contextualSpacing/>
        <w:jc w:val="both"/>
      </w:pPr>
    </w:p>
    <w:p w14:paraId="0B4A925F" w14:textId="77777777" w:rsidR="00894676" w:rsidRDefault="00894676" w:rsidP="004B162A">
      <w:pPr>
        <w:pStyle w:val="BodyText"/>
        <w:tabs>
          <w:tab w:val="right" w:leader="dot" w:pos="6769"/>
        </w:tabs>
        <w:spacing w:after="0"/>
        <w:contextualSpacing/>
        <w:jc w:val="both"/>
      </w:pPr>
    </w:p>
    <w:p w14:paraId="4379FF63" w14:textId="77777777" w:rsidR="00894676" w:rsidRDefault="00894676" w:rsidP="004B162A">
      <w:pPr>
        <w:pStyle w:val="BodyText"/>
        <w:tabs>
          <w:tab w:val="right" w:leader="dot" w:pos="6769"/>
        </w:tabs>
        <w:spacing w:after="0"/>
        <w:contextualSpacing/>
        <w:jc w:val="both"/>
      </w:pPr>
    </w:p>
    <w:p w14:paraId="4BB597EB" w14:textId="77777777" w:rsidR="00894676" w:rsidRPr="00536847" w:rsidRDefault="00894676" w:rsidP="004B162A">
      <w:pPr>
        <w:pStyle w:val="BodyText"/>
        <w:tabs>
          <w:tab w:val="right" w:leader="dot" w:pos="6769"/>
        </w:tabs>
        <w:spacing w:after="0"/>
        <w:contextualSpacing/>
        <w:jc w:val="both"/>
      </w:pPr>
    </w:p>
    <w:p w14:paraId="564A32B5" w14:textId="6DA09472" w:rsidR="00765C66" w:rsidRDefault="00083862" w:rsidP="004C1F59">
      <w:pPr>
        <w:pStyle w:val="BlankLine"/>
      </w:pPr>
      <w:r>
        <w:lastRenderedPageBreak/>
        <w:t>A.</w:t>
      </w:r>
      <w:r>
        <w:tab/>
      </w:r>
      <w:r w:rsidR="00A15016">
        <w:t>When using</w:t>
      </w:r>
      <w:r w:rsidR="00816499">
        <w:t xml:space="preserve"> aluminum coated corrugated steel pipe (707.01</w:t>
      </w:r>
      <w:r w:rsidR="00A26950">
        <w:t>, 707.02),</w:t>
      </w:r>
      <w:r w:rsidR="00A15016">
        <w:t xml:space="preserve"> </w:t>
      </w:r>
      <w:r w:rsidR="00AC1A8E">
        <w:t xml:space="preserve">aluminum coated </w:t>
      </w:r>
      <w:r w:rsidR="00C90806">
        <w:t>c</w:t>
      </w:r>
      <w:r w:rsidR="003A310A">
        <w:t xml:space="preserve">orrugated </w:t>
      </w:r>
      <w:r>
        <w:t>steel spiral rib pipe (</w:t>
      </w:r>
      <w:r w:rsidR="00A15016">
        <w:t>707.12</w:t>
      </w:r>
      <w:r>
        <w:t>)</w:t>
      </w:r>
      <w:r w:rsidR="00064B1D">
        <w:t xml:space="preserve">, </w:t>
      </w:r>
      <w:r w:rsidR="00C90806">
        <w:t>c</w:t>
      </w:r>
      <w:r w:rsidR="00064B1D">
        <w:t xml:space="preserve">orrugated aluminum alloy pipe (707.21, 707.22), </w:t>
      </w:r>
      <w:r w:rsidR="00C90806">
        <w:t>a</w:t>
      </w:r>
      <w:r w:rsidR="00064B1D">
        <w:t xml:space="preserve">luminum alloy structural plate conduit (707.23), or </w:t>
      </w:r>
      <w:r w:rsidR="00C90806">
        <w:t>c</w:t>
      </w:r>
      <w:r w:rsidR="00064B1D">
        <w:t>orrugated aluminum spiral rib pipe (707.24): Ensure that the outside of the conduit is coated in a zinc chromate</w:t>
      </w:r>
      <w:r w:rsidR="3D505C9E">
        <w:t>-</w:t>
      </w:r>
      <w:r w:rsidR="005D6B41">
        <w:t>free</w:t>
      </w:r>
      <w:r w:rsidR="00064B1D">
        <w:t xml:space="preserve"> primer or an epoxy paint formulated for  aluminum prior to any grouting operations.</w:t>
      </w:r>
    </w:p>
    <w:p w14:paraId="6F3FA978" w14:textId="446BCAB5" w:rsidR="00B0693F" w:rsidRPr="00536847" w:rsidRDefault="00B0693F" w:rsidP="004C1F59">
      <w:pPr>
        <w:pStyle w:val="BlankLine"/>
      </w:pPr>
    </w:p>
    <w:p w14:paraId="7855443F" w14:textId="6A2A1988" w:rsidR="00745B13" w:rsidRDefault="00745B13" w:rsidP="00745B13">
      <w:pPr>
        <w:pStyle w:val="1Indent1Paragraph"/>
      </w:pPr>
      <w:bookmarkStart w:id="9" w:name="_Hlk181687710"/>
      <w:r w:rsidRPr="00536847">
        <w:t>B.</w:t>
      </w:r>
      <w:r w:rsidRPr="00536847">
        <w:tab/>
      </w:r>
      <w:bookmarkEnd w:id="9"/>
      <w:r w:rsidR="009A48F5">
        <w:t>When using polymer precoated, galvanized steel conduit (707.18) as a liner pipe, the Department will allow the following additional sizes: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244"/>
      </w:tblGrid>
      <w:tr w:rsidR="009A48F5" w:rsidRPr="00536847" w14:paraId="554D01B7" w14:textId="77777777">
        <w:trPr>
          <w:cantSplit/>
          <w:jc w:val="center"/>
        </w:trPr>
        <w:tc>
          <w:tcPr>
            <w:tcW w:w="0" w:type="auto"/>
          </w:tcPr>
          <w:p w14:paraId="1ED8F90B" w14:textId="77777777" w:rsidR="009A48F5" w:rsidRPr="00536847" w:rsidRDefault="009A48F5">
            <w:pPr>
              <w:pStyle w:val="TableText"/>
              <w:jc w:val="center"/>
              <w:rPr>
                <w:b/>
              </w:rPr>
            </w:pPr>
            <w:r w:rsidRPr="00536847">
              <w:rPr>
                <w:b/>
              </w:rPr>
              <w:t>Pipe</w:t>
            </w:r>
          </w:p>
          <w:p w14:paraId="04D6E926" w14:textId="77777777" w:rsidR="009A48F5" w:rsidRPr="00536847" w:rsidRDefault="009A48F5">
            <w:pPr>
              <w:pStyle w:val="TableText"/>
              <w:jc w:val="center"/>
              <w:rPr>
                <w:b/>
              </w:rPr>
            </w:pPr>
            <w:r w:rsidRPr="00536847">
              <w:rPr>
                <w:b/>
              </w:rPr>
              <w:t>Diameter</w:t>
            </w:r>
          </w:p>
          <w:p w14:paraId="43BB1B97" w14:textId="77777777" w:rsidR="009A48F5" w:rsidRPr="00536847" w:rsidRDefault="009A48F5">
            <w:pPr>
              <w:pStyle w:val="TableText"/>
              <w:jc w:val="center"/>
              <w:rPr>
                <w:b/>
              </w:rPr>
            </w:pPr>
            <w:r w:rsidRPr="00536847">
              <w:rPr>
                <w:b/>
              </w:rPr>
              <w:t>(in)</w:t>
            </w:r>
          </w:p>
        </w:tc>
        <w:tc>
          <w:tcPr>
            <w:tcW w:w="0" w:type="auto"/>
          </w:tcPr>
          <w:p w14:paraId="7C1E3FF3" w14:textId="77777777" w:rsidR="009A48F5" w:rsidRPr="00536847" w:rsidRDefault="009A48F5">
            <w:pPr>
              <w:pStyle w:val="TableText"/>
              <w:jc w:val="center"/>
              <w:rPr>
                <w:b/>
              </w:rPr>
            </w:pPr>
            <w:r w:rsidRPr="00536847">
              <w:rPr>
                <w:b/>
              </w:rPr>
              <w:t>Wall</w:t>
            </w:r>
          </w:p>
          <w:p w14:paraId="2F885426" w14:textId="77777777" w:rsidR="009A48F5" w:rsidRPr="00536847" w:rsidRDefault="009A48F5">
            <w:pPr>
              <w:pStyle w:val="TableText"/>
              <w:jc w:val="center"/>
              <w:rPr>
                <w:b/>
              </w:rPr>
            </w:pPr>
            <w:r w:rsidRPr="00536847">
              <w:rPr>
                <w:b/>
              </w:rPr>
              <w:t>Thickness</w:t>
            </w:r>
          </w:p>
          <w:p w14:paraId="1C110DD9" w14:textId="77777777" w:rsidR="009A48F5" w:rsidRPr="00536847" w:rsidRDefault="009A48F5">
            <w:pPr>
              <w:pStyle w:val="TableText"/>
              <w:jc w:val="center"/>
              <w:rPr>
                <w:b/>
              </w:rPr>
            </w:pPr>
            <w:r w:rsidRPr="00536847">
              <w:rPr>
                <w:b/>
              </w:rPr>
              <w:t>(</w:t>
            </w:r>
            <w:r>
              <w:rPr>
                <w:b/>
              </w:rPr>
              <w:t>gauge</w:t>
            </w:r>
            <w:r w:rsidRPr="00536847">
              <w:rPr>
                <w:b/>
              </w:rPr>
              <w:t>)</w:t>
            </w:r>
          </w:p>
        </w:tc>
      </w:tr>
      <w:tr w:rsidR="009A48F5" w:rsidRPr="00536847" w14:paraId="0799468D" w14:textId="77777777">
        <w:trPr>
          <w:cantSplit/>
          <w:jc w:val="center"/>
        </w:trPr>
        <w:tc>
          <w:tcPr>
            <w:tcW w:w="0" w:type="auto"/>
          </w:tcPr>
          <w:p w14:paraId="0647B90D" w14:textId="77777777" w:rsidR="009A48F5" w:rsidRPr="00536847" w:rsidRDefault="009A48F5">
            <w:pPr>
              <w:pStyle w:val="TableText"/>
              <w:jc w:val="center"/>
            </w:pPr>
            <w:r>
              <w:t>126</w:t>
            </w:r>
          </w:p>
        </w:tc>
        <w:tc>
          <w:tcPr>
            <w:tcW w:w="0" w:type="auto"/>
          </w:tcPr>
          <w:p w14:paraId="0892ECF6" w14:textId="77777777" w:rsidR="009A48F5" w:rsidRPr="00536847" w:rsidRDefault="009A48F5">
            <w:pPr>
              <w:pStyle w:val="TableText"/>
              <w:jc w:val="center"/>
            </w:pPr>
            <w:r>
              <w:t>12/18</w:t>
            </w:r>
          </w:p>
        </w:tc>
      </w:tr>
      <w:tr w:rsidR="009A48F5" w:rsidRPr="00536847" w14:paraId="21322ACA" w14:textId="77777777">
        <w:trPr>
          <w:cantSplit/>
          <w:jc w:val="center"/>
        </w:trPr>
        <w:tc>
          <w:tcPr>
            <w:tcW w:w="0" w:type="auto"/>
          </w:tcPr>
          <w:p w14:paraId="1E345702" w14:textId="77777777" w:rsidR="009A48F5" w:rsidRPr="00536847" w:rsidRDefault="009A48F5">
            <w:pPr>
              <w:pStyle w:val="TableText"/>
              <w:jc w:val="center"/>
            </w:pPr>
            <w:r>
              <w:t>132</w:t>
            </w:r>
          </w:p>
        </w:tc>
        <w:tc>
          <w:tcPr>
            <w:tcW w:w="0" w:type="auto"/>
          </w:tcPr>
          <w:p w14:paraId="58FA9BA7" w14:textId="77777777" w:rsidR="009A48F5" w:rsidRPr="00536847" w:rsidRDefault="009A48F5">
            <w:pPr>
              <w:pStyle w:val="TableText"/>
              <w:jc w:val="center"/>
            </w:pPr>
            <w:r>
              <w:t>12/18</w:t>
            </w:r>
          </w:p>
        </w:tc>
      </w:tr>
      <w:tr w:rsidR="009A48F5" w:rsidRPr="00536847" w14:paraId="21A3FC5E" w14:textId="77777777">
        <w:trPr>
          <w:cantSplit/>
          <w:jc w:val="center"/>
        </w:trPr>
        <w:tc>
          <w:tcPr>
            <w:tcW w:w="0" w:type="auto"/>
          </w:tcPr>
          <w:p w14:paraId="1CA0480C" w14:textId="77777777" w:rsidR="009A48F5" w:rsidRPr="00536847" w:rsidRDefault="009A48F5">
            <w:pPr>
              <w:pStyle w:val="TableText"/>
              <w:jc w:val="center"/>
            </w:pPr>
            <w:r>
              <w:t>138</w:t>
            </w:r>
          </w:p>
        </w:tc>
        <w:tc>
          <w:tcPr>
            <w:tcW w:w="0" w:type="auto"/>
          </w:tcPr>
          <w:p w14:paraId="4BF8C4D5" w14:textId="77777777" w:rsidR="009A48F5" w:rsidRPr="00536847" w:rsidRDefault="009A48F5">
            <w:pPr>
              <w:pStyle w:val="TableText"/>
              <w:jc w:val="center"/>
            </w:pPr>
            <w:r>
              <w:t>12/18</w:t>
            </w:r>
          </w:p>
        </w:tc>
      </w:tr>
      <w:tr w:rsidR="009A48F5" w:rsidRPr="00536847" w14:paraId="2CC20236" w14:textId="77777777">
        <w:trPr>
          <w:cantSplit/>
          <w:jc w:val="center"/>
        </w:trPr>
        <w:tc>
          <w:tcPr>
            <w:tcW w:w="0" w:type="auto"/>
          </w:tcPr>
          <w:p w14:paraId="2B156596" w14:textId="77777777" w:rsidR="009A48F5" w:rsidRPr="00536847" w:rsidRDefault="009A48F5">
            <w:pPr>
              <w:pStyle w:val="TableText"/>
              <w:jc w:val="center"/>
            </w:pPr>
            <w:r>
              <w:t>144</w:t>
            </w:r>
          </w:p>
        </w:tc>
        <w:tc>
          <w:tcPr>
            <w:tcW w:w="0" w:type="auto"/>
          </w:tcPr>
          <w:p w14:paraId="6EE6F13F" w14:textId="77777777" w:rsidR="009A48F5" w:rsidRPr="00536847" w:rsidRDefault="009A48F5">
            <w:pPr>
              <w:pStyle w:val="TableText"/>
              <w:jc w:val="center"/>
            </w:pPr>
            <w:r>
              <w:t>12/18</w:t>
            </w:r>
          </w:p>
        </w:tc>
      </w:tr>
    </w:tbl>
    <w:p w14:paraId="6AE65A94" w14:textId="77777777" w:rsidR="009A48F5" w:rsidRDefault="009A48F5" w:rsidP="009A48F5">
      <w:pPr>
        <w:pStyle w:val="1Indent1Paragraph"/>
        <w:spacing w:after="0"/>
      </w:pPr>
    </w:p>
    <w:p w14:paraId="7A281533" w14:textId="09B252F7" w:rsidR="00E572CC" w:rsidRPr="00536847" w:rsidRDefault="00064B1D" w:rsidP="00B0693F">
      <w:pPr>
        <w:pStyle w:val="1Indent1Paragraph"/>
      </w:pPr>
      <w:r>
        <w:t>C</w:t>
      </w:r>
      <w:r w:rsidR="00B0693F" w:rsidRPr="00536847">
        <w:t>.</w:t>
      </w:r>
      <w:r w:rsidR="00B0693F" w:rsidRPr="00536847">
        <w:tab/>
        <w:t>Corrugated polyethylene smooth lined pipe (</w:t>
      </w:r>
      <w:r w:rsidR="00E572CC" w:rsidRPr="00536847">
        <w:t>707.33</w:t>
      </w:r>
      <w:r w:rsidR="00B0693F" w:rsidRPr="00536847">
        <w:t>)</w:t>
      </w:r>
      <w:r w:rsidR="00323BF6" w:rsidRPr="00536847">
        <w:t>:</w:t>
      </w:r>
      <w:r w:rsidR="00822FC1">
        <w:t xml:space="preserve"> </w:t>
      </w:r>
      <w:r w:rsidR="002E1746" w:rsidRPr="00536847">
        <w:t>Ensure t</w:t>
      </w:r>
      <w:r w:rsidR="00E572CC" w:rsidRPr="00536847">
        <w:t xml:space="preserve">he joint </w:t>
      </w:r>
      <w:r w:rsidR="002E1746" w:rsidRPr="00536847">
        <w:t>does</w:t>
      </w:r>
      <w:r w:rsidR="00E572CC" w:rsidRPr="00536847">
        <w:t xml:space="preserve"> not protrude on the inside of the pipe nor increase the outside diameter of the pipe.</w:t>
      </w:r>
    </w:p>
    <w:p w14:paraId="6EC25084" w14:textId="3616E3EC" w:rsidR="00CE43E3" w:rsidRPr="00536847" w:rsidRDefault="00064B1D" w:rsidP="00CE43E3">
      <w:pPr>
        <w:pStyle w:val="1Indent1Paragraph"/>
      </w:pPr>
      <w:r>
        <w:t>D</w:t>
      </w:r>
      <w:r w:rsidR="00CE43E3" w:rsidRPr="00536847">
        <w:t>.</w:t>
      </w:r>
      <w:r w:rsidR="00CE43E3" w:rsidRPr="00536847">
        <w:tab/>
        <w:t>Polyethylene plastic pipe based on outside diameter (OD) (707.34):</w:t>
      </w:r>
      <w:r w:rsidR="00822FC1">
        <w:t xml:space="preserve"> </w:t>
      </w:r>
      <w:r w:rsidR="00B14DF1" w:rsidRPr="00536847">
        <w:t>Furnish</w:t>
      </w:r>
      <w:r w:rsidR="00CE43E3" w:rsidRPr="00536847">
        <w:t xml:space="preserve"> liner pipe </w:t>
      </w:r>
      <w:r w:rsidR="00B14DF1" w:rsidRPr="00536847">
        <w:t>with</w:t>
      </w:r>
      <w:r w:rsidR="00CE43E3" w:rsidRPr="00536847">
        <w:t xml:space="preserve"> a maximum standard dimension ratio (SDR) of 32.5.</w:t>
      </w:r>
      <w:r w:rsidR="00822FC1">
        <w:t xml:space="preserve"> </w:t>
      </w:r>
      <w:r w:rsidR="00A43590" w:rsidRPr="00536847">
        <w:t>Ensure the joint does not protrude on the inside of the pipe nor increase the outside diameter of the pipe.</w:t>
      </w:r>
    </w:p>
    <w:p w14:paraId="2F97D60F" w14:textId="6E7A5320" w:rsidR="00CE43E3" w:rsidRPr="00536847" w:rsidRDefault="00064B1D" w:rsidP="00B0693F">
      <w:pPr>
        <w:pStyle w:val="1Indent1Paragraph"/>
      </w:pPr>
      <w:r>
        <w:t>E</w:t>
      </w:r>
      <w:r w:rsidR="00CE43E3" w:rsidRPr="00536847">
        <w:t>.</w:t>
      </w:r>
      <w:r w:rsidR="00CE43E3" w:rsidRPr="00536847">
        <w:tab/>
        <w:t>Polyethylene profile wall pipe (707.35):</w:t>
      </w:r>
      <w:r w:rsidR="00822FC1">
        <w:t xml:space="preserve"> </w:t>
      </w:r>
      <w:r w:rsidR="00B14DF1" w:rsidRPr="00536847">
        <w:t>Furnish</w:t>
      </w:r>
      <w:r w:rsidR="004D31D1" w:rsidRPr="00536847">
        <w:t xml:space="preserve"> liner pipe </w:t>
      </w:r>
      <w:r w:rsidR="00B14DF1" w:rsidRPr="00536847">
        <w:t>with</w:t>
      </w:r>
      <w:r w:rsidR="004D31D1" w:rsidRPr="00536847">
        <w:t xml:space="preserve"> a minimum ring stiffness constant (</w:t>
      </w:r>
      <w:r w:rsidR="00CD1602" w:rsidRPr="00536847">
        <w:t>RSC</w:t>
      </w:r>
      <w:r w:rsidR="004D31D1" w:rsidRPr="00536847">
        <w:t>) of 100.</w:t>
      </w:r>
      <w:r w:rsidR="00822FC1">
        <w:t xml:space="preserve"> </w:t>
      </w:r>
      <w:proofErr w:type="spellStart"/>
      <w:r w:rsidR="00934404" w:rsidRPr="00536847">
        <w:t>Ovalization</w:t>
      </w:r>
      <w:proofErr w:type="spellEnd"/>
      <w:r w:rsidR="00934404" w:rsidRPr="00536847">
        <w:t xml:space="preserve"> is permitted.</w:t>
      </w:r>
      <w:r w:rsidR="00822FC1">
        <w:t xml:space="preserve"> </w:t>
      </w:r>
      <w:r w:rsidR="00A43590" w:rsidRPr="00536847">
        <w:t>Ensure the joint does not protrude on the inside of the pipe nor increase the outside diameter of the pipe.</w:t>
      </w:r>
    </w:p>
    <w:p w14:paraId="6EFBCBE6" w14:textId="0E488A14" w:rsidR="00E572CC" w:rsidRPr="00536847" w:rsidRDefault="00064B1D" w:rsidP="00B0693F">
      <w:pPr>
        <w:pStyle w:val="1Indent1Paragraph"/>
      </w:pPr>
      <w:r>
        <w:t>F</w:t>
      </w:r>
      <w:r w:rsidR="00B0693F" w:rsidRPr="00536847">
        <w:t>.</w:t>
      </w:r>
      <w:r w:rsidR="00B0693F" w:rsidRPr="00536847">
        <w:tab/>
        <w:t>Polyvinyl chloride corrugated smooth interior pipe (</w:t>
      </w:r>
      <w:r w:rsidR="00E572CC" w:rsidRPr="00536847">
        <w:t>707.42</w:t>
      </w:r>
      <w:r w:rsidR="00323BF6" w:rsidRPr="00536847">
        <w:t>):</w:t>
      </w:r>
      <w:r w:rsidR="00822FC1">
        <w:t xml:space="preserve"> </w:t>
      </w:r>
      <w:r w:rsidR="002E1746" w:rsidRPr="00536847">
        <w:t>Ensure t</w:t>
      </w:r>
      <w:r w:rsidR="00E572CC" w:rsidRPr="00536847">
        <w:t xml:space="preserve">he joint </w:t>
      </w:r>
      <w:r w:rsidR="002E1746" w:rsidRPr="00536847">
        <w:t xml:space="preserve">does </w:t>
      </w:r>
      <w:r w:rsidR="00E572CC" w:rsidRPr="00536847">
        <w:t>not protrude on the inside of the pipe nor increase the outside diameter of the pipe.</w:t>
      </w:r>
    </w:p>
    <w:p w14:paraId="4CCA1736" w14:textId="037129C4" w:rsidR="00E572CC" w:rsidRPr="00536847" w:rsidRDefault="00064B1D" w:rsidP="00B0693F">
      <w:pPr>
        <w:pStyle w:val="1Indent1Paragraph"/>
      </w:pPr>
      <w:r>
        <w:t>G</w:t>
      </w:r>
      <w:r w:rsidR="00B0693F" w:rsidRPr="00536847">
        <w:t>.</w:t>
      </w:r>
      <w:r w:rsidR="00B0693F" w:rsidRPr="00536847">
        <w:tab/>
        <w:t>Polyvinyl chloride profile wall pipe (</w:t>
      </w:r>
      <w:r w:rsidR="00E572CC" w:rsidRPr="00536847">
        <w:t>707.43</w:t>
      </w:r>
      <w:r w:rsidR="00B0693F" w:rsidRPr="00536847">
        <w:t>)</w:t>
      </w:r>
      <w:r w:rsidR="00323BF6" w:rsidRPr="00536847">
        <w:t>:</w:t>
      </w:r>
      <w:r w:rsidR="00822FC1">
        <w:t xml:space="preserve"> </w:t>
      </w:r>
      <w:r w:rsidR="002E1746" w:rsidRPr="00536847">
        <w:t>Furnish</w:t>
      </w:r>
      <w:r w:rsidR="00E572CC" w:rsidRPr="00536847">
        <w:t xml:space="preserve"> pipe with smooth interior and exterior walls.</w:t>
      </w:r>
      <w:r w:rsidR="00822FC1">
        <w:t xml:space="preserve"> </w:t>
      </w:r>
      <w:r w:rsidR="00B0693F" w:rsidRPr="00536847">
        <w:t>The Department will allow i</w:t>
      </w:r>
      <w:r w:rsidR="00E572CC" w:rsidRPr="00536847">
        <w:t>nternal sleeve joints.</w:t>
      </w:r>
      <w:r w:rsidR="00822FC1">
        <w:t xml:space="preserve"> </w:t>
      </w:r>
      <w:r w:rsidR="00065C04" w:rsidRPr="00536847">
        <w:t>Ensure the joint does not increase the outside diameter of the pipe.</w:t>
      </w:r>
      <w:r w:rsidR="00822FC1">
        <w:t xml:space="preserve"> </w:t>
      </w:r>
      <w:r w:rsidR="00065C04" w:rsidRPr="00536847">
        <w:t xml:space="preserve">When using </w:t>
      </w:r>
      <w:r w:rsidR="00E70DB3" w:rsidRPr="00536847">
        <w:t>polyvinyl chloride profile wall pipe as a liner pipe</w:t>
      </w:r>
      <w:r w:rsidR="00065C04" w:rsidRPr="00536847">
        <w:t xml:space="preserve">, the </w:t>
      </w:r>
      <w:r w:rsidR="00E70DB3" w:rsidRPr="00536847">
        <w:t xml:space="preserve">Department will allow the </w:t>
      </w:r>
      <w:r w:rsidR="00065C04" w:rsidRPr="00536847">
        <w:t>following additional sizes: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176"/>
        <w:gridCol w:w="1176"/>
      </w:tblGrid>
      <w:tr w:rsidR="00CD1602" w:rsidRPr="00536847" w14:paraId="75EFFF81" w14:textId="77777777" w:rsidTr="0059543E">
        <w:trPr>
          <w:cantSplit/>
          <w:jc w:val="center"/>
        </w:trPr>
        <w:tc>
          <w:tcPr>
            <w:tcW w:w="0" w:type="auto"/>
          </w:tcPr>
          <w:p w14:paraId="7FE958BE" w14:textId="77777777" w:rsidR="00CD1602" w:rsidRPr="00536847" w:rsidRDefault="00CD1602" w:rsidP="00323BF6">
            <w:pPr>
              <w:pStyle w:val="TableText"/>
              <w:jc w:val="center"/>
              <w:rPr>
                <w:b/>
                <w:bCs/>
              </w:rPr>
            </w:pPr>
            <w:r w:rsidRPr="00536847">
              <w:rPr>
                <w:b/>
                <w:bCs/>
              </w:rPr>
              <w:t>Nominal</w:t>
            </w:r>
          </w:p>
          <w:p w14:paraId="35FE60F8" w14:textId="77777777" w:rsidR="00CD1602" w:rsidRPr="00536847" w:rsidRDefault="00CD1602" w:rsidP="00323BF6">
            <w:pPr>
              <w:pStyle w:val="TableText"/>
              <w:jc w:val="center"/>
              <w:rPr>
                <w:b/>
                <w:bCs/>
              </w:rPr>
            </w:pPr>
            <w:r w:rsidRPr="00536847">
              <w:rPr>
                <w:b/>
                <w:bCs/>
              </w:rPr>
              <w:t>Diameter</w:t>
            </w:r>
          </w:p>
          <w:p w14:paraId="7ADACBF4" w14:textId="16374E93" w:rsidR="00CD1602" w:rsidRPr="00536847" w:rsidRDefault="00CD1602" w:rsidP="00323BF6">
            <w:pPr>
              <w:pStyle w:val="TableText"/>
              <w:jc w:val="center"/>
              <w:rPr>
                <w:b/>
                <w:bCs/>
              </w:rPr>
            </w:pPr>
            <w:r w:rsidRPr="00536847">
              <w:rPr>
                <w:b/>
                <w:bCs/>
              </w:rPr>
              <w:t>(in)</w:t>
            </w:r>
          </w:p>
        </w:tc>
        <w:tc>
          <w:tcPr>
            <w:tcW w:w="0" w:type="auto"/>
          </w:tcPr>
          <w:p w14:paraId="36CF42E2" w14:textId="77777777" w:rsidR="00CD1602" w:rsidRPr="00536847" w:rsidRDefault="00CD1602" w:rsidP="00323BF6">
            <w:pPr>
              <w:pStyle w:val="TableText"/>
              <w:jc w:val="center"/>
              <w:rPr>
                <w:b/>
                <w:bCs/>
              </w:rPr>
            </w:pPr>
            <w:r w:rsidRPr="00536847">
              <w:rPr>
                <w:b/>
                <w:bCs/>
              </w:rPr>
              <w:t>Outside</w:t>
            </w:r>
          </w:p>
          <w:p w14:paraId="484599AA" w14:textId="77777777" w:rsidR="00CD1602" w:rsidRPr="00536847" w:rsidRDefault="00CD1602" w:rsidP="00323BF6">
            <w:pPr>
              <w:pStyle w:val="TableText"/>
              <w:jc w:val="center"/>
              <w:rPr>
                <w:b/>
                <w:bCs/>
              </w:rPr>
            </w:pPr>
            <w:r w:rsidRPr="00536847">
              <w:rPr>
                <w:b/>
                <w:bCs/>
              </w:rPr>
              <w:t>Diameter</w:t>
            </w:r>
          </w:p>
          <w:p w14:paraId="3124E620" w14:textId="77777777" w:rsidR="00CD1602" w:rsidRPr="00536847" w:rsidRDefault="00CD1602" w:rsidP="00323BF6">
            <w:pPr>
              <w:pStyle w:val="TableText"/>
              <w:jc w:val="center"/>
              <w:rPr>
                <w:b/>
                <w:bCs/>
              </w:rPr>
            </w:pPr>
            <w:r w:rsidRPr="00536847">
              <w:rPr>
                <w:b/>
                <w:bCs/>
              </w:rPr>
              <w:t>(in)</w:t>
            </w:r>
          </w:p>
        </w:tc>
        <w:tc>
          <w:tcPr>
            <w:tcW w:w="0" w:type="auto"/>
          </w:tcPr>
          <w:p w14:paraId="6F9D2B85" w14:textId="77777777" w:rsidR="00CD1602" w:rsidRPr="00536847" w:rsidRDefault="00CD1602" w:rsidP="00323BF6">
            <w:pPr>
              <w:pStyle w:val="TableText"/>
              <w:jc w:val="center"/>
              <w:rPr>
                <w:b/>
                <w:bCs/>
              </w:rPr>
            </w:pPr>
            <w:r w:rsidRPr="00536847">
              <w:rPr>
                <w:b/>
                <w:bCs/>
              </w:rPr>
              <w:t>Inside</w:t>
            </w:r>
          </w:p>
          <w:p w14:paraId="7B9B7B9C" w14:textId="77777777" w:rsidR="00CD1602" w:rsidRPr="00536847" w:rsidRDefault="00CD1602" w:rsidP="00323BF6">
            <w:pPr>
              <w:pStyle w:val="TableText"/>
              <w:jc w:val="center"/>
              <w:rPr>
                <w:b/>
                <w:bCs/>
              </w:rPr>
            </w:pPr>
            <w:r w:rsidRPr="00536847">
              <w:rPr>
                <w:b/>
                <w:bCs/>
              </w:rPr>
              <w:t>Diameter</w:t>
            </w:r>
          </w:p>
          <w:p w14:paraId="16E1F7E6" w14:textId="77777777" w:rsidR="00CD1602" w:rsidRPr="00536847" w:rsidRDefault="00CD1602" w:rsidP="00323BF6">
            <w:pPr>
              <w:pStyle w:val="TableText"/>
              <w:jc w:val="center"/>
              <w:rPr>
                <w:b/>
                <w:bCs/>
              </w:rPr>
            </w:pPr>
            <w:r w:rsidRPr="00536847">
              <w:rPr>
                <w:b/>
                <w:bCs/>
              </w:rPr>
              <w:t>(in)</w:t>
            </w:r>
          </w:p>
        </w:tc>
      </w:tr>
      <w:tr w:rsidR="00CD1602" w:rsidRPr="00536847" w14:paraId="1DE73079" w14:textId="77777777" w:rsidTr="0059543E">
        <w:trPr>
          <w:cantSplit/>
          <w:jc w:val="center"/>
        </w:trPr>
        <w:tc>
          <w:tcPr>
            <w:tcW w:w="0" w:type="auto"/>
          </w:tcPr>
          <w:p w14:paraId="1329E69C" w14:textId="77777777" w:rsidR="00CD1602" w:rsidRPr="00536847" w:rsidRDefault="00CD1602" w:rsidP="00E70DB3">
            <w:pPr>
              <w:pStyle w:val="TableText"/>
              <w:jc w:val="center"/>
            </w:pPr>
            <w:r w:rsidRPr="00536847">
              <w:t>54</w:t>
            </w:r>
          </w:p>
        </w:tc>
        <w:tc>
          <w:tcPr>
            <w:tcW w:w="0" w:type="auto"/>
          </w:tcPr>
          <w:p w14:paraId="4980B421" w14:textId="77777777" w:rsidR="00CD1602" w:rsidRPr="00536847" w:rsidRDefault="00CD1602" w:rsidP="00E70DB3">
            <w:pPr>
              <w:pStyle w:val="TableText"/>
              <w:jc w:val="center"/>
            </w:pPr>
            <w:r w:rsidRPr="00536847">
              <w:t>57.00</w:t>
            </w:r>
          </w:p>
        </w:tc>
        <w:tc>
          <w:tcPr>
            <w:tcW w:w="0" w:type="auto"/>
          </w:tcPr>
          <w:p w14:paraId="698B3E70" w14:textId="77777777" w:rsidR="00CD1602" w:rsidRPr="00536847" w:rsidRDefault="00CD1602" w:rsidP="00E70DB3">
            <w:pPr>
              <w:pStyle w:val="TableText"/>
              <w:jc w:val="center"/>
            </w:pPr>
            <w:r w:rsidRPr="00536847">
              <w:t>53.50</w:t>
            </w:r>
          </w:p>
        </w:tc>
      </w:tr>
      <w:tr w:rsidR="00CD1602" w:rsidRPr="00536847" w14:paraId="4653E307" w14:textId="77777777" w:rsidTr="0059543E">
        <w:trPr>
          <w:cantSplit/>
          <w:jc w:val="center"/>
        </w:trPr>
        <w:tc>
          <w:tcPr>
            <w:tcW w:w="0" w:type="auto"/>
          </w:tcPr>
          <w:p w14:paraId="493B4702" w14:textId="77777777" w:rsidR="00CD1602" w:rsidRPr="00536847" w:rsidRDefault="00CD1602" w:rsidP="00E70DB3">
            <w:pPr>
              <w:pStyle w:val="TableText"/>
              <w:jc w:val="center"/>
            </w:pPr>
            <w:r w:rsidRPr="00536847">
              <w:t>60</w:t>
            </w:r>
          </w:p>
        </w:tc>
        <w:tc>
          <w:tcPr>
            <w:tcW w:w="0" w:type="auto"/>
          </w:tcPr>
          <w:p w14:paraId="021FE249" w14:textId="77777777" w:rsidR="00CD1602" w:rsidRPr="00536847" w:rsidRDefault="00CD1602" w:rsidP="00E70DB3">
            <w:pPr>
              <w:pStyle w:val="TableText"/>
              <w:jc w:val="center"/>
            </w:pPr>
            <w:r w:rsidRPr="00536847">
              <w:t>63.35</w:t>
            </w:r>
          </w:p>
        </w:tc>
        <w:tc>
          <w:tcPr>
            <w:tcW w:w="0" w:type="auto"/>
          </w:tcPr>
          <w:p w14:paraId="1C38B3BC" w14:textId="77777777" w:rsidR="00CD1602" w:rsidRPr="00536847" w:rsidRDefault="00CD1602" w:rsidP="00E70DB3">
            <w:pPr>
              <w:pStyle w:val="TableText"/>
              <w:jc w:val="center"/>
            </w:pPr>
            <w:r w:rsidRPr="00536847">
              <w:t>59.50</w:t>
            </w:r>
          </w:p>
        </w:tc>
      </w:tr>
    </w:tbl>
    <w:p w14:paraId="1B396913" w14:textId="77777777" w:rsidR="00B0693F" w:rsidRPr="00536847" w:rsidRDefault="00B0693F" w:rsidP="00B0693F">
      <w:pPr>
        <w:pStyle w:val="BlankLine"/>
      </w:pPr>
    </w:p>
    <w:p w14:paraId="0480B61A" w14:textId="56E3FC44" w:rsidR="00E572CC" w:rsidRPr="00536847" w:rsidRDefault="00064B1D" w:rsidP="00B0693F">
      <w:pPr>
        <w:pStyle w:val="1Indent1Paragraph"/>
      </w:pPr>
      <w:r>
        <w:t>H</w:t>
      </w:r>
      <w:r w:rsidR="00B0693F" w:rsidRPr="00536847">
        <w:t>.</w:t>
      </w:r>
      <w:r w:rsidR="00B0693F" w:rsidRPr="00536847">
        <w:tab/>
      </w:r>
      <w:r w:rsidR="00323BF6" w:rsidRPr="00536847">
        <w:t>Steel casing pipe (</w:t>
      </w:r>
      <w:r w:rsidR="00E572CC" w:rsidRPr="00536847">
        <w:t>748.06</w:t>
      </w:r>
      <w:r w:rsidR="00323BF6" w:rsidRPr="00536847">
        <w:t>):</w:t>
      </w:r>
      <w:r w:rsidR="00822FC1">
        <w:t xml:space="preserve"> </w:t>
      </w:r>
      <w:r w:rsidR="004E4DD2" w:rsidRPr="00536847">
        <w:t xml:space="preserve">Furnish either galvanized or ungalvanized steel casing pipe. </w:t>
      </w:r>
      <w:r w:rsidR="002E1746" w:rsidRPr="00536847">
        <w:t xml:space="preserve">Ensure </w:t>
      </w:r>
      <w:r w:rsidR="00E572CC" w:rsidRPr="00536847">
        <w:t xml:space="preserve">casing pipe </w:t>
      </w:r>
      <w:r w:rsidR="002E1746" w:rsidRPr="00536847">
        <w:t xml:space="preserve">is </w:t>
      </w:r>
      <w:r w:rsidR="00E572CC" w:rsidRPr="00536847">
        <w:t xml:space="preserve">joined together with internal sleeves or a full circumferential weld </w:t>
      </w:r>
      <w:r w:rsidR="00931D5A" w:rsidRPr="00536847">
        <w:t xml:space="preserve">according to C&amp;MS </w:t>
      </w:r>
      <w:r w:rsidR="00E572CC" w:rsidRPr="00536847">
        <w:t>513.</w:t>
      </w:r>
      <w:r w:rsidR="00310377" w:rsidRPr="00536847">
        <w:t>21</w:t>
      </w:r>
      <w:r w:rsidR="00E572CC" w:rsidRPr="00536847">
        <w:t>.</w:t>
      </w:r>
      <w:r w:rsidR="00822FC1">
        <w:t xml:space="preserve"> </w:t>
      </w:r>
      <w:r w:rsidR="00661AEE" w:rsidRPr="00536847">
        <w:t>Hydrostatic testing is not required.</w:t>
      </w:r>
      <w:bookmarkStart w:id="10" w:name="_Hlk192073591"/>
      <w:r w:rsidR="00152BA1">
        <w:t xml:space="preserve"> </w:t>
      </w:r>
      <w:r w:rsidR="000E76B5">
        <w:t>Non</w:t>
      </w:r>
      <w:r w:rsidR="002F0DFD">
        <w:t>-</w:t>
      </w:r>
      <w:r w:rsidR="000E76B5">
        <w:t>circular</w:t>
      </w:r>
      <w:r w:rsidR="00CA61A1">
        <w:t xml:space="preserve"> pipe</w:t>
      </w:r>
      <w:r w:rsidR="00152BA1">
        <w:t xml:space="preserve"> conforming to the </w:t>
      </w:r>
      <w:r w:rsidR="00CA61A1">
        <w:t xml:space="preserve">original shape of the </w:t>
      </w:r>
      <w:r w:rsidR="00152BA1">
        <w:t xml:space="preserve">host pipe </w:t>
      </w:r>
      <w:r w:rsidR="00CA61A1">
        <w:t>is</w:t>
      </w:r>
      <w:r w:rsidR="00152BA1">
        <w:t xml:space="preserve"> permitted.</w:t>
      </w:r>
    </w:p>
    <w:p w14:paraId="58D6BFC3" w14:textId="764C4DCE" w:rsidR="007B5D03" w:rsidRDefault="00064B1D" w:rsidP="009A48F5">
      <w:pPr>
        <w:pStyle w:val="1Indent1Paragraph"/>
      </w:pPr>
      <w:bookmarkStart w:id="11" w:name="_Hlk121746836"/>
      <w:bookmarkEnd w:id="10"/>
      <w:r>
        <w:lastRenderedPageBreak/>
        <w:t>I</w:t>
      </w:r>
      <w:r w:rsidR="00B0693F" w:rsidRPr="00536847">
        <w:t>.</w:t>
      </w:r>
      <w:r w:rsidR="00B0693F" w:rsidRPr="00536847">
        <w:tab/>
      </w:r>
      <w:r w:rsidR="00323BF6" w:rsidRPr="00536847">
        <w:t>Steel reinforced thermoplastic ribbed pipe (</w:t>
      </w:r>
      <w:r w:rsidR="00245CFE">
        <w:t>707.85</w:t>
      </w:r>
      <w:r w:rsidR="00323BF6" w:rsidRPr="00536847">
        <w:t>):</w:t>
      </w:r>
      <w:r w:rsidR="00822FC1">
        <w:t xml:space="preserve"> </w:t>
      </w:r>
      <w:r w:rsidR="00500C8E" w:rsidRPr="00536847">
        <w:t>Coat all exposed steel ribs</w:t>
      </w:r>
      <w:r w:rsidR="00767456" w:rsidRPr="00536847">
        <w:t xml:space="preserve"> with a manufacturer recommended spray-on rubberized or paint-on plastic coating when steel reinforcement is exposed</w:t>
      </w:r>
      <w:r w:rsidR="00500C8E" w:rsidRPr="00536847">
        <w:t xml:space="preserve"> due to </w:t>
      </w:r>
      <w:r w:rsidR="00767456" w:rsidRPr="00536847">
        <w:t xml:space="preserve">field </w:t>
      </w:r>
      <w:r w:rsidR="00500C8E" w:rsidRPr="00536847">
        <w:t>cutting</w:t>
      </w:r>
      <w:r w:rsidR="007B5D03" w:rsidRPr="00536847">
        <w:t>.</w:t>
      </w:r>
      <w:r w:rsidR="0021531F">
        <w:t xml:space="preserve"> </w:t>
      </w:r>
      <w:r w:rsidR="00B30A0C">
        <w:t>Seal joints with</w:t>
      </w:r>
      <w:r w:rsidR="0021531F">
        <w:t xml:space="preserve"> internal bands</w:t>
      </w:r>
      <w:r w:rsidR="00694F67">
        <w:t xml:space="preserve"> when external joints cannot be used</w:t>
      </w:r>
      <w:r w:rsidR="00A03AD2">
        <w:t>.</w:t>
      </w:r>
    </w:p>
    <w:bookmarkEnd w:id="11"/>
    <w:p w14:paraId="400BC30C" w14:textId="332DB91A" w:rsidR="004259F7" w:rsidRPr="00877357" w:rsidRDefault="00064B1D" w:rsidP="009A48F5">
      <w:pPr>
        <w:pStyle w:val="1Indent1Paragraph"/>
      </w:pPr>
      <w:r>
        <w:t>J</w:t>
      </w:r>
      <w:r w:rsidR="00DB2844" w:rsidRPr="00536847">
        <w:t xml:space="preserve">. </w:t>
      </w:r>
      <w:r w:rsidR="00245CFE">
        <w:tab/>
      </w:r>
      <w:r w:rsidR="00DB2844" w:rsidRPr="00536847">
        <w:t>Glass-fiber-reinforced polymer mortar pipe (707.</w:t>
      </w:r>
      <w:r w:rsidR="000653CC" w:rsidRPr="00536847">
        <w:t>75</w:t>
      </w:r>
      <w:r w:rsidR="00DB2844" w:rsidRPr="00536847">
        <w:t>): Flush sleeve joints or standard double-bell couplings may be used. For flush sleeve joints and double-bell couplings, ensure the pipe ends do not protrude on the inside of the pipe or increase the outside diameter of the pipe.</w:t>
      </w:r>
      <w:r w:rsidR="00152BA1">
        <w:t xml:space="preserve"> </w:t>
      </w:r>
      <w:r w:rsidR="000E76B5" w:rsidRPr="00152BA1">
        <w:t>Non</w:t>
      </w:r>
      <w:r w:rsidR="002F0DFD">
        <w:t>-</w:t>
      </w:r>
      <w:r w:rsidR="000E76B5" w:rsidRPr="00152BA1">
        <w:t>circular</w:t>
      </w:r>
      <w:r w:rsidR="00152BA1" w:rsidRPr="00152BA1">
        <w:t xml:space="preserve"> </w:t>
      </w:r>
      <w:r w:rsidR="00CA61A1">
        <w:t>pipe</w:t>
      </w:r>
      <w:r w:rsidR="00152BA1" w:rsidRPr="00152BA1">
        <w:t xml:space="preserve"> conforming to the </w:t>
      </w:r>
      <w:r w:rsidR="00CA61A1">
        <w:t xml:space="preserve">original shape of the </w:t>
      </w:r>
      <w:r w:rsidR="00152BA1" w:rsidRPr="00152BA1">
        <w:t xml:space="preserve">host pipe </w:t>
      </w:r>
      <w:r w:rsidR="00CA61A1">
        <w:t>is</w:t>
      </w:r>
      <w:r w:rsidR="00152BA1" w:rsidRPr="00152BA1">
        <w:t xml:space="preserve"> permitted.</w:t>
      </w:r>
    </w:p>
    <w:p w14:paraId="0F7A9382" w14:textId="4B1843D0" w:rsidR="004259F7" w:rsidRPr="00ED005C" w:rsidRDefault="00064B1D" w:rsidP="008B0A70">
      <w:pPr>
        <w:tabs>
          <w:tab w:val="left" w:pos="307"/>
        </w:tabs>
        <w:spacing w:line="242" w:lineRule="auto"/>
        <w:ind w:right="115"/>
        <w:jc w:val="both"/>
      </w:pPr>
      <w:bookmarkStart w:id="12" w:name="_Hlk152314618"/>
      <w:r>
        <w:t>K</w:t>
      </w:r>
      <w:r w:rsidR="003853D1" w:rsidRPr="009A48F5">
        <w:t>.</w:t>
      </w:r>
      <w:r w:rsidR="003853D1" w:rsidRPr="008B0A70">
        <w:rPr>
          <w:b/>
          <w:bCs/>
        </w:rPr>
        <w:tab/>
        <w:t xml:space="preserve"> </w:t>
      </w:r>
      <w:r w:rsidR="007F6A80" w:rsidRPr="008B0A70">
        <w:t>Controlled Low Strength Mortar (</w:t>
      </w:r>
      <w:r w:rsidR="004259F7" w:rsidRPr="008B0A70">
        <w:t>CLSM</w:t>
      </w:r>
      <w:r w:rsidR="007F6A80" w:rsidRPr="008B0A70">
        <w:t xml:space="preserve">) </w:t>
      </w:r>
      <w:r w:rsidR="004259F7" w:rsidRPr="008B0A70">
        <w:t>Grout</w:t>
      </w:r>
      <w:bookmarkEnd w:id="12"/>
      <w:r w:rsidR="003853D1" w:rsidRPr="008B0A70">
        <w:rPr>
          <w:b/>
          <w:bCs/>
        </w:rPr>
        <w:t>:</w:t>
      </w:r>
      <w:r w:rsidR="004259F7" w:rsidRPr="00ED005C">
        <w:t xml:space="preserve"> Provide CLSM</w:t>
      </w:r>
      <w:r w:rsidR="00C00B75" w:rsidRPr="00ED005C">
        <w:t xml:space="preserve"> with Fill Flow admixture as manufactured by Fritz-Pak Corporation, 4821 Eastover Circle, Mesquite TX 75149, or equivalent</w:t>
      </w:r>
      <w:r w:rsidR="004259F7" w:rsidRPr="00ED005C">
        <w:t xml:space="preserve"> with mix proportions as specified in Table 837.03-1 and meeting the pre-pumping test requirements shown in Table 837.03-2. </w:t>
      </w:r>
    </w:p>
    <w:p w14:paraId="6C799015" w14:textId="77777777" w:rsidR="004259F7" w:rsidRPr="008B0A70" w:rsidRDefault="004259F7" w:rsidP="004259F7">
      <w:pPr>
        <w:pStyle w:val="Title"/>
        <w:spacing w:after="40"/>
        <w:rPr>
          <w:rFonts w:ascii="Times New Roman" w:eastAsia="Times New Roman" w:hAnsi="Times New Roman"/>
          <w:b/>
          <w:bCs/>
          <w:szCs w:val="22"/>
        </w:rPr>
      </w:pPr>
    </w:p>
    <w:p w14:paraId="0E9955C4" w14:textId="77777777" w:rsidR="004259F7" w:rsidRPr="008B0A70" w:rsidRDefault="004259F7" w:rsidP="004259F7">
      <w:pPr>
        <w:pStyle w:val="Title"/>
        <w:spacing w:after="40"/>
        <w:rPr>
          <w:rFonts w:ascii="Times New Roman" w:eastAsia="Times New Roman" w:hAnsi="Times New Roman"/>
          <w:b/>
          <w:bCs/>
          <w:szCs w:val="22"/>
        </w:rPr>
      </w:pPr>
      <w:r w:rsidRPr="008B0A70">
        <w:rPr>
          <w:rFonts w:ascii="Times New Roman" w:eastAsia="Times New Roman" w:hAnsi="Times New Roman"/>
          <w:b/>
          <w:bCs/>
          <w:szCs w:val="22"/>
        </w:rPr>
        <w:t>TABLE 837.03-1</w:t>
      </w:r>
    </w:p>
    <w:tbl>
      <w:tblPr>
        <w:tblStyle w:val="TableGrid"/>
        <w:tblW w:w="0" w:type="auto"/>
        <w:jc w:val="center"/>
        <w:tblLook w:val="04A0" w:firstRow="1" w:lastRow="0" w:firstColumn="1" w:lastColumn="0" w:noHBand="0" w:noVBand="1"/>
      </w:tblPr>
      <w:tblGrid>
        <w:gridCol w:w="3235"/>
        <w:gridCol w:w="2998"/>
      </w:tblGrid>
      <w:tr w:rsidR="00ED005C" w:rsidRPr="00ED005C" w14:paraId="087A43DF" w14:textId="77777777">
        <w:trPr>
          <w:trHeight w:val="432"/>
          <w:jc w:val="center"/>
        </w:trPr>
        <w:tc>
          <w:tcPr>
            <w:tcW w:w="3235" w:type="dxa"/>
            <w:vAlign w:val="center"/>
          </w:tcPr>
          <w:p w14:paraId="2B7BF57B" w14:textId="77777777" w:rsidR="004259F7" w:rsidRPr="008B0A70" w:rsidRDefault="004259F7">
            <w:pPr>
              <w:contextualSpacing/>
              <w:jc w:val="center"/>
              <w:rPr>
                <w:b/>
                <w:bCs/>
              </w:rPr>
            </w:pPr>
            <w:r w:rsidRPr="008B0A70">
              <w:rPr>
                <w:b/>
                <w:bCs/>
              </w:rPr>
              <w:t>Materials</w:t>
            </w:r>
          </w:p>
        </w:tc>
        <w:tc>
          <w:tcPr>
            <w:tcW w:w="2998" w:type="dxa"/>
            <w:vAlign w:val="center"/>
          </w:tcPr>
          <w:p w14:paraId="4D8528C7" w14:textId="77777777" w:rsidR="004259F7" w:rsidRPr="008B0A70" w:rsidRDefault="004259F7">
            <w:pPr>
              <w:contextualSpacing/>
              <w:jc w:val="center"/>
              <w:rPr>
                <w:b/>
                <w:bCs/>
              </w:rPr>
            </w:pPr>
            <w:r w:rsidRPr="008B0A70">
              <w:rPr>
                <w:b/>
                <w:bCs/>
              </w:rPr>
              <w:t>Amount</w:t>
            </w:r>
          </w:p>
        </w:tc>
      </w:tr>
      <w:tr w:rsidR="00ED005C" w:rsidRPr="00ED005C" w14:paraId="3DEA9AD8" w14:textId="77777777">
        <w:trPr>
          <w:trHeight w:val="432"/>
          <w:jc w:val="center"/>
        </w:trPr>
        <w:tc>
          <w:tcPr>
            <w:tcW w:w="3235" w:type="dxa"/>
            <w:vAlign w:val="center"/>
          </w:tcPr>
          <w:p w14:paraId="558A72DD" w14:textId="77777777" w:rsidR="004259F7" w:rsidRPr="008B0A70" w:rsidRDefault="004259F7">
            <w:pPr>
              <w:jc w:val="center"/>
            </w:pPr>
            <w:r w:rsidRPr="008B0A70">
              <w:t>Cement Type I (</w:t>
            </w:r>
            <w:proofErr w:type="spellStart"/>
            <w:r w:rsidRPr="008B0A70">
              <w:t>lb</w:t>
            </w:r>
            <w:proofErr w:type="spellEnd"/>
            <w:r w:rsidRPr="008B0A70">
              <w:t>/yd</w:t>
            </w:r>
            <w:r w:rsidRPr="008B0A70">
              <w:rPr>
                <w:vertAlign w:val="superscript"/>
              </w:rPr>
              <w:t>3</w:t>
            </w:r>
            <w:r w:rsidRPr="008B0A70">
              <w:t>)</w:t>
            </w:r>
          </w:p>
        </w:tc>
        <w:tc>
          <w:tcPr>
            <w:tcW w:w="2998" w:type="dxa"/>
            <w:vAlign w:val="center"/>
          </w:tcPr>
          <w:p w14:paraId="3B65729C" w14:textId="77777777" w:rsidR="004259F7" w:rsidRPr="008B0A70" w:rsidRDefault="004259F7">
            <w:pPr>
              <w:contextualSpacing/>
              <w:jc w:val="center"/>
              <w:rPr>
                <w:rFonts w:eastAsia="Cambria"/>
                <w:kern w:val="24"/>
              </w:rPr>
            </w:pPr>
            <w:r w:rsidRPr="008B0A70">
              <w:t>100</w:t>
            </w:r>
            <w:r w:rsidRPr="008B0A70">
              <w:softHyphen/>
            </w:r>
            <w:r w:rsidRPr="008B0A70">
              <w:softHyphen/>
            </w:r>
            <w:r w:rsidRPr="008B0A70">
              <w:rPr>
                <w:rFonts w:ascii="Symbol" w:eastAsia="Symbol" w:hAnsi="Symbol" w:cs="Symbol"/>
              </w:rPr>
              <w:t>-</w:t>
            </w:r>
            <w:r w:rsidRPr="008B0A70">
              <w:t>130</w:t>
            </w:r>
          </w:p>
        </w:tc>
      </w:tr>
      <w:tr w:rsidR="00ED005C" w:rsidRPr="00ED005C" w14:paraId="6ECD6000" w14:textId="77777777">
        <w:trPr>
          <w:trHeight w:val="432"/>
          <w:jc w:val="center"/>
        </w:trPr>
        <w:tc>
          <w:tcPr>
            <w:tcW w:w="3235" w:type="dxa"/>
            <w:vAlign w:val="center"/>
          </w:tcPr>
          <w:p w14:paraId="6C4337F1" w14:textId="77777777" w:rsidR="004259F7" w:rsidRPr="008B0A70" w:rsidRDefault="004259F7">
            <w:pPr>
              <w:jc w:val="center"/>
            </w:pPr>
            <w:r w:rsidRPr="008B0A70">
              <w:t>Fly Ash, Class C (preferred) or Class F (</w:t>
            </w:r>
            <w:proofErr w:type="spellStart"/>
            <w:r w:rsidRPr="008B0A70">
              <w:t>lb</w:t>
            </w:r>
            <w:proofErr w:type="spellEnd"/>
            <w:r w:rsidRPr="008B0A70">
              <w:t>/yd</w:t>
            </w:r>
            <w:r w:rsidRPr="008B0A70">
              <w:rPr>
                <w:vertAlign w:val="superscript"/>
              </w:rPr>
              <w:t>3</w:t>
            </w:r>
            <w:r w:rsidRPr="008B0A70">
              <w:t>)</w:t>
            </w:r>
          </w:p>
        </w:tc>
        <w:tc>
          <w:tcPr>
            <w:tcW w:w="2998" w:type="dxa"/>
            <w:vAlign w:val="center"/>
          </w:tcPr>
          <w:p w14:paraId="69C612D5" w14:textId="77777777" w:rsidR="004259F7" w:rsidRPr="008B0A70" w:rsidRDefault="004259F7">
            <w:pPr>
              <w:jc w:val="center"/>
            </w:pPr>
            <w:r w:rsidRPr="008B0A70">
              <w:t>350</w:t>
            </w:r>
            <w:r w:rsidRPr="008B0A70">
              <w:rPr>
                <w:rFonts w:ascii="Symbol" w:eastAsia="Symbol" w:hAnsi="Symbol" w:cs="Symbol"/>
              </w:rPr>
              <w:t>-</w:t>
            </w:r>
            <w:r w:rsidRPr="008B0A70">
              <w:t>370</w:t>
            </w:r>
          </w:p>
        </w:tc>
      </w:tr>
      <w:tr w:rsidR="00ED005C" w:rsidRPr="00ED005C" w14:paraId="340774DB" w14:textId="77777777">
        <w:trPr>
          <w:trHeight w:val="432"/>
          <w:jc w:val="center"/>
        </w:trPr>
        <w:tc>
          <w:tcPr>
            <w:tcW w:w="3235" w:type="dxa"/>
            <w:vAlign w:val="center"/>
          </w:tcPr>
          <w:p w14:paraId="57E8CC0C" w14:textId="77777777" w:rsidR="004259F7" w:rsidRPr="008B0A70" w:rsidRDefault="004259F7">
            <w:pPr>
              <w:contextualSpacing/>
              <w:jc w:val="center"/>
              <w:rPr>
                <w:rFonts w:eastAsia="Cambria"/>
                <w:kern w:val="24"/>
              </w:rPr>
            </w:pPr>
            <w:r w:rsidRPr="008B0A70">
              <w:rPr>
                <w:rFonts w:eastAsia="Cambria"/>
                <w:kern w:val="24"/>
              </w:rPr>
              <w:t>Fine Aggregate (</w:t>
            </w:r>
            <w:proofErr w:type="spellStart"/>
            <w:r w:rsidRPr="008B0A70">
              <w:rPr>
                <w:rFonts w:eastAsia="Cambria"/>
                <w:kern w:val="24"/>
              </w:rPr>
              <w:t>lb</w:t>
            </w:r>
            <w:proofErr w:type="spellEnd"/>
            <w:r w:rsidRPr="008B0A70">
              <w:rPr>
                <w:rFonts w:eastAsia="Cambria"/>
                <w:kern w:val="24"/>
              </w:rPr>
              <w:t>/yd</w:t>
            </w:r>
            <w:r w:rsidRPr="008B0A70">
              <w:rPr>
                <w:rFonts w:eastAsia="Cambria"/>
                <w:kern w:val="24"/>
                <w:vertAlign w:val="superscript"/>
              </w:rPr>
              <w:t>3</w:t>
            </w:r>
            <w:r w:rsidRPr="008B0A70">
              <w:rPr>
                <w:rFonts w:eastAsia="Cambria"/>
                <w:kern w:val="24"/>
              </w:rPr>
              <w:t>)</w:t>
            </w:r>
          </w:p>
        </w:tc>
        <w:tc>
          <w:tcPr>
            <w:tcW w:w="2998" w:type="dxa"/>
            <w:vAlign w:val="center"/>
          </w:tcPr>
          <w:p w14:paraId="18E8BF81" w14:textId="77777777" w:rsidR="004259F7" w:rsidRPr="008B0A70" w:rsidRDefault="004259F7">
            <w:pPr>
              <w:contextualSpacing/>
              <w:jc w:val="center"/>
              <w:rPr>
                <w:rFonts w:eastAsia="Cambria"/>
                <w:kern w:val="24"/>
              </w:rPr>
            </w:pPr>
            <w:r w:rsidRPr="008B0A70">
              <w:rPr>
                <w:rFonts w:eastAsia="Cambria"/>
                <w:kern w:val="24"/>
              </w:rPr>
              <w:t>2700</w:t>
            </w:r>
            <w:r w:rsidRPr="008B0A70">
              <w:rPr>
                <w:rFonts w:ascii="Symbol" w:eastAsia="Symbol" w:hAnsi="Symbol" w:cs="Symbol"/>
                <w:kern w:val="24"/>
              </w:rPr>
              <w:t>-</w:t>
            </w:r>
            <w:r w:rsidRPr="008B0A70">
              <w:rPr>
                <w:rFonts w:eastAsia="Cambria"/>
                <w:kern w:val="24"/>
              </w:rPr>
              <w:t>2750</w:t>
            </w:r>
          </w:p>
        </w:tc>
      </w:tr>
      <w:tr w:rsidR="00ED005C" w:rsidRPr="00ED005C" w14:paraId="55BF160D" w14:textId="77777777">
        <w:trPr>
          <w:trHeight w:val="432"/>
          <w:jc w:val="center"/>
        </w:trPr>
        <w:tc>
          <w:tcPr>
            <w:tcW w:w="3235" w:type="dxa"/>
            <w:vAlign w:val="center"/>
          </w:tcPr>
          <w:p w14:paraId="1D1AC9DB" w14:textId="77777777" w:rsidR="004259F7" w:rsidRPr="008B0A70" w:rsidRDefault="004259F7">
            <w:pPr>
              <w:contextualSpacing/>
              <w:jc w:val="center"/>
              <w:rPr>
                <w:rFonts w:eastAsia="Cambria"/>
                <w:kern w:val="24"/>
              </w:rPr>
            </w:pPr>
            <w:r w:rsidRPr="008B0A70">
              <w:rPr>
                <w:rFonts w:eastAsia="Cambria"/>
                <w:kern w:val="24"/>
              </w:rPr>
              <w:t>Water (gallon)</w:t>
            </w:r>
          </w:p>
        </w:tc>
        <w:tc>
          <w:tcPr>
            <w:tcW w:w="2998" w:type="dxa"/>
            <w:vAlign w:val="center"/>
          </w:tcPr>
          <w:p w14:paraId="27BE974C" w14:textId="77777777" w:rsidR="004259F7" w:rsidRPr="008B0A70" w:rsidRDefault="004259F7">
            <w:pPr>
              <w:contextualSpacing/>
              <w:jc w:val="center"/>
              <w:rPr>
                <w:rFonts w:eastAsia="Cambria"/>
                <w:kern w:val="24"/>
              </w:rPr>
            </w:pPr>
            <w:r w:rsidRPr="008B0A70">
              <w:t>35</w:t>
            </w:r>
            <w:r w:rsidRPr="008B0A70">
              <w:rPr>
                <w:rFonts w:ascii="Symbol" w:eastAsia="Symbol" w:hAnsi="Symbol" w:cs="Symbol"/>
              </w:rPr>
              <w:t>-</w:t>
            </w:r>
            <w:r w:rsidRPr="008B0A70">
              <w:t>40</w:t>
            </w:r>
          </w:p>
        </w:tc>
      </w:tr>
      <w:tr w:rsidR="00ED005C" w:rsidRPr="00ED005C" w14:paraId="6F41875B" w14:textId="77777777">
        <w:trPr>
          <w:trHeight w:val="432"/>
          <w:jc w:val="center"/>
        </w:trPr>
        <w:tc>
          <w:tcPr>
            <w:tcW w:w="3235" w:type="dxa"/>
            <w:vAlign w:val="center"/>
          </w:tcPr>
          <w:p w14:paraId="1EBDC997" w14:textId="77777777" w:rsidR="004259F7" w:rsidRPr="008B0A70" w:rsidRDefault="004259F7">
            <w:pPr>
              <w:contextualSpacing/>
              <w:jc w:val="center"/>
              <w:rPr>
                <w:rFonts w:eastAsia="Cambria"/>
                <w:kern w:val="24"/>
              </w:rPr>
            </w:pPr>
            <w:r w:rsidRPr="008B0A70">
              <w:rPr>
                <w:rFonts w:eastAsia="Cambria"/>
                <w:kern w:val="24"/>
              </w:rPr>
              <w:t>W/C</w:t>
            </w:r>
          </w:p>
        </w:tc>
        <w:tc>
          <w:tcPr>
            <w:tcW w:w="2998" w:type="dxa"/>
            <w:vAlign w:val="center"/>
          </w:tcPr>
          <w:p w14:paraId="71EB69AA" w14:textId="77777777" w:rsidR="004259F7" w:rsidRPr="008B0A70" w:rsidRDefault="004259F7">
            <w:pPr>
              <w:contextualSpacing/>
              <w:jc w:val="center"/>
            </w:pPr>
            <w:r w:rsidRPr="008B0A70">
              <w:t>0.6</w:t>
            </w:r>
            <w:r w:rsidRPr="008B0A70">
              <w:rPr>
                <w:rFonts w:ascii="Symbol" w:eastAsia="Symbol" w:hAnsi="Symbol" w:cs="Symbol"/>
              </w:rPr>
              <w:t>-</w:t>
            </w:r>
            <w:r w:rsidRPr="008B0A70">
              <w:t>0.7</w:t>
            </w:r>
          </w:p>
        </w:tc>
      </w:tr>
      <w:tr w:rsidR="00ED005C" w:rsidRPr="00ED005C" w14:paraId="4483B667" w14:textId="77777777">
        <w:trPr>
          <w:trHeight w:val="432"/>
          <w:jc w:val="center"/>
        </w:trPr>
        <w:tc>
          <w:tcPr>
            <w:tcW w:w="3235" w:type="dxa"/>
            <w:vAlign w:val="center"/>
          </w:tcPr>
          <w:p w14:paraId="3FF29DC7" w14:textId="77777777" w:rsidR="004259F7" w:rsidRPr="008B0A70" w:rsidRDefault="004259F7">
            <w:pPr>
              <w:contextualSpacing/>
              <w:jc w:val="center"/>
              <w:rPr>
                <w:rFonts w:eastAsia="Cambria"/>
                <w:kern w:val="24"/>
              </w:rPr>
            </w:pPr>
            <w:r w:rsidRPr="008B0A70">
              <w:rPr>
                <w:rFonts w:eastAsia="Cambria"/>
                <w:kern w:val="24"/>
              </w:rPr>
              <w:t>*Fill Flow Volume-Expanding Admixture (</w:t>
            </w:r>
            <w:proofErr w:type="spellStart"/>
            <w:r w:rsidRPr="008B0A70">
              <w:rPr>
                <w:rFonts w:eastAsia="Cambria"/>
                <w:kern w:val="24"/>
              </w:rPr>
              <w:t>lb</w:t>
            </w:r>
            <w:proofErr w:type="spellEnd"/>
            <w:r w:rsidRPr="008B0A70">
              <w:rPr>
                <w:rFonts w:eastAsia="Cambria"/>
                <w:kern w:val="24"/>
              </w:rPr>
              <w:t>/yd</w:t>
            </w:r>
            <w:r w:rsidRPr="008B0A70">
              <w:rPr>
                <w:rFonts w:eastAsia="Cambria"/>
                <w:kern w:val="24"/>
                <w:vertAlign w:val="superscript"/>
              </w:rPr>
              <w:t>3</w:t>
            </w:r>
            <w:r w:rsidRPr="008B0A70">
              <w:rPr>
                <w:rFonts w:eastAsia="Cambria"/>
                <w:kern w:val="24"/>
              </w:rPr>
              <w:t>)</w:t>
            </w:r>
          </w:p>
        </w:tc>
        <w:tc>
          <w:tcPr>
            <w:tcW w:w="2998" w:type="dxa"/>
            <w:vAlign w:val="center"/>
          </w:tcPr>
          <w:p w14:paraId="599BAE89" w14:textId="77777777" w:rsidR="004259F7" w:rsidRPr="008B0A70" w:rsidRDefault="004259F7">
            <w:pPr>
              <w:contextualSpacing/>
              <w:jc w:val="center"/>
            </w:pPr>
            <w:r w:rsidRPr="008B0A70">
              <w:t>Maximum 4.0</w:t>
            </w:r>
          </w:p>
        </w:tc>
      </w:tr>
      <w:tr w:rsidR="00ED005C" w:rsidRPr="00ED005C" w14:paraId="0C49D4FD" w14:textId="77777777">
        <w:trPr>
          <w:trHeight w:val="432"/>
          <w:jc w:val="center"/>
        </w:trPr>
        <w:tc>
          <w:tcPr>
            <w:tcW w:w="3235" w:type="dxa"/>
            <w:vAlign w:val="center"/>
          </w:tcPr>
          <w:p w14:paraId="0BF97832" w14:textId="77777777" w:rsidR="004259F7" w:rsidRPr="008B0A70" w:rsidRDefault="004259F7">
            <w:pPr>
              <w:contextualSpacing/>
              <w:jc w:val="center"/>
              <w:rPr>
                <w:rFonts w:eastAsia="Cambria"/>
                <w:kern w:val="24"/>
              </w:rPr>
            </w:pPr>
            <w:r w:rsidRPr="008B0A70">
              <w:rPr>
                <w:rFonts w:eastAsia="Cambria"/>
                <w:kern w:val="24"/>
              </w:rPr>
              <w:t>**Air Entraining Agent Admixture (oz)</w:t>
            </w:r>
          </w:p>
        </w:tc>
        <w:tc>
          <w:tcPr>
            <w:tcW w:w="2998" w:type="dxa"/>
            <w:vAlign w:val="center"/>
          </w:tcPr>
          <w:p w14:paraId="7C84C36B" w14:textId="77777777" w:rsidR="004259F7" w:rsidRPr="008B0A70" w:rsidRDefault="004259F7">
            <w:pPr>
              <w:contextualSpacing/>
              <w:jc w:val="center"/>
            </w:pPr>
            <w:r w:rsidRPr="008B0A70">
              <w:t>As needed</w:t>
            </w:r>
          </w:p>
        </w:tc>
      </w:tr>
      <w:tr w:rsidR="00ED005C" w:rsidRPr="00ED005C" w14:paraId="647E7FDA" w14:textId="77777777">
        <w:trPr>
          <w:trHeight w:val="432"/>
          <w:jc w:val="center"/>
        </w:trPr>
        <w:tc>
          <w:tcPr>
            <w:tcW w:w="3235" w:type="dxa"/>
            <w:vAlign w:val="center"/>
          </w:tcPr>
          <w:p w14:paraId="077C9DCB" w14:textId="77777777" w:rsidR="004259F7" w:rsidRPr="008B0A70" w:rsidRDefault="004259F7">
            <w:pPr>
              <w:contextualSpacing/>
              <w:jc w:val="center"/>
              <w:rPr>
                <w:rFonts w:eastAsia="Cambria"/>
                <w:kern w:val="24"/>
              </w:rPr>
            </w:pPr>
            <w:r w:rsidRPr="008B0A70">
              <w:rPr>
                <w:rFonts w:eastAsia="Cambria"/>
                <w:kern w:val="24"/>
              </w:rPr>
              <w:t>Target Density (</w:t>
            </w:r>
            <w:proofErr w:type="spellStart"/>
            <w:r w:rsidRPr="008B0A70">
              <w:rPr>
                <w:rFonts w:eastAsia="Cambria"/>
                <w:kern w:val="24"/>
              </w:rPr>
              <w:t>lb</w:t>
            </w:r>
            <w:proofErr w:type="spellEnd"/>
            <w:r w:rsidRPr="008B0A70">
              <w:rPr>
                <w:rFonts w:eastAsia="Cambria"/>
                <w:kern w:val="24"/>
              </w:rPr>
              <w:t>/ft</w:t>
            </w:r>
            <w:r w:rsidRPr="008B0A70">
              <w:rPr>
                <w:rFonts w:eastAsia="Cambria"/>
                <w:kern w:val="24"/>
                <w:vertAlign w:val="superscript"/>
              </w:rPr>
              <w:t>3</w:t>
            </w:r>
            <w:r w:rsidRPr="008B0A70">
              <w:rPr>
                <w:rFonts w:eastAsia="Cambria"/>
                <w:kern w:val="24"/>
              </w:rPr>
              <w:t>)</w:t>
            </w:r>
          </w:p>
        </w:tc>
        <w:tc>
          <w:tcPr>
            <w:tcW w:w="2998" w:type="dxa"/>
            <w:vAlign w:val="center"/>
          </w:tcPr>
          <w:p w14:paraId="52BE2AD8" w14:textId="77777777" w:rsidR="004259F7" w:rsidRPr="008B0A70" w:rsidRDefault="004259F7">
            <w:pPr>
              <w:contextualSpacing/>
              <w:jc w:val="center"/>
            </w:pPr>
            <w:r w:rsidRPr="008B0A70">
              <w:rPr>
                <w:rFonts w:eastAsia="Cambria"/>
                <w:kern w:val="24"/>
              </w:rPr>
              <w:t>93 ± 4</w:t>
            </w:r>
          </w:p>
        </w:tc>
      </w:tr>
    </w:tbl>
    <w:p w14:paraId="63FBB0CD" w14:textId="77777777" w:rsidR="004259F7" w:rsidRPr="008B0A70" w:rsidRDefault="004259F7" w:rsidP="004259F7">
      <w:pPr>
        <w:contextualSpacing/>
        <w:jc w:val="center"/>
        <w:rPr>
          <w:rFonts w:eastAsia="Cambria"/>
          <w:i/>
          <w:iCs/>
          <w:kern w:val="24"/>
          <w:sz w:val="19"/>
          <w:szCs w:val="19"/>
        </w:rPr>
      </w:pPr>
      <w:r w:rsidRPr="008B0A70">
        <w:rPr>
          <w:rFonts w:eastAsia="Cambria"/>
          <w:i/>
          <w:iCs/>
          <w:kern w:val="24"/>
          <w:sz w:val="19"/>
          <w:szCs w:val="19"/>
        </w:rPr>
        <w:t>* Minimum 30% volume expansion is needed; add admixture at the site.</w:t>
      </w:r>
    </w:p>
    <w:p w14:paraId="49BA83CF" w14:textId="77777777" w:rsidR="004259F7" w:rsidRPr="008B0A70" w:rsidRDefault="004259F7" w:rsidP="004259F7">
      <w:pPr>
        <w:contextualSpacing/>
        <w:jc w:val="center"/>
        <w:rPr>
          <w:rFonts w:eastAsia="Cambria"/>
          <w:kern w:val="24"/>
          <w:sz w:val="19"/>
          <w:szCs w:val="19"/>
        </w:rPr>
      </w:pPr>
      <w:r w:rsidRPr="008B0A70">
        <w:rPr>
          <w:rFonts w:eastAsia="Cambria"/>
          <w:i/>
          <w:iCs/>
          <w:kern w:val="24"/>
          <w:sz w:val="19"/>
          <w:szCs w:val="19"/>
        </w:rPr>
        <w:t>** Can be added to the mix to meet the target density after adding the required amount of volume-expanding admixture.</w:t>
      </w:r>
    </w:p>
    <w:p w14:paraId="7A19C525" w14:textId="77777777" w:rsidR="004259F7" w:rsidRPr="00ED005C" w:rsidRDefault="004259F7" w:rsidP="008B0A70">
      <w:pPr>
        <w:tabs>
          <w:tab w:val="left" w:pos="307"/>
        </w:tabs>
        <w:spacing w:line="242" w:lineRule="auto"/>
        <w:ind w:right="115"/>
      </w:pPr>
    </w:p>
    <w:p w14:paraId="49AD106E" w14:textId="3DAA9B82" w:rsidR="004259F7" w:rsidRPr="008B0A70" w:rsidRDefault="004259F7" w:rsidP="004259F7">
      <w:pPr>
        <w:pStyle w:val="Title"/>
        <w:spacing w:after="40"/>
        <w:rPr>
          <w:rFonts w:ascii="Times New Roman" w:eastAsia="Times New Roman" w:hAnsi="Times New Roman"/>
          <w:b/>
          <w:bCs/>
          <w:szCs w:val="22"/>
        </w:rPr>
      </w:pPr>
      <w:r w:rsidRPr="008B0A70">
        <w:rPr>
          <w:rFonts w:ascii="Times New Roman" w:eastAsia="Times New Roman" w:hAnsi="Times New Roman"/>
          <w:b/>
          <w:bCs/>
          <w:szCs w:val="22"/>
        </w:rPr>
        <w:t>TABLE 837.03-2</w:t>
      </w:r>
    </w:p>
    <w:tbl>
      <w:tblPr>
        <w:tblW w:w="80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17"/>
        <w:gridCol w:w="2160"/>
        <w:gridCol w:w="3420"/>
      </w:tblGrid>
      <w:tr w:rsidR="00ED005C" w:rsidRPr="00ED005C" w14:paraId="5E2B6F3F" w14:textId="77777777">
        <w:trPr>
          <w:trHeight w:val="432"/>
          <w:jc w:val="center"/>
        </w:trPr>
        <w:tc>
          <w:tcPr>
            <w:tcW w:w="8097" w:type="dxa"/>
            <w:gridSpan w:val="3"/>
            <w:shd w:val="clear" w:color="auto" w:fill="FFFFFF" w:themeFill="background1"/>
            <w:vAlign w:val="center"/>
          </w:tcPr>
          <w:p w14:paraId="0F5C2CB2" w14:textId="77777777" w:rsidR="004259F7" w:rsidRPr="008B0A70" w:rsidRDefault="004259F7">
            <w:pPr>
              <w:jc w:val="center"/>
              <w:rPr>
                <w:rFonts w:asciiTheme="majorBidi" w:hAnsiTheme="majorBidi" w:cstheme="majorBidi"/>
                <w:b/>
                <w:bCs/>
              </w:rPr>
            </w:pPr>
            <w:r w:rsidRPr="008B0A70">
              <w:rPr>
                <w:rFonts w:asciiTheme="majorBidi" w:hAnsiTheme="majorBidi" w:cstheme="majorBidi"/>
                <w:b/>
                <w:bCs/>
              </w:rPr>
              <w:t>Fresh Grout Properties to be Met Before Pumping is Permitted</w:t>
            </w:r>
          </w:p>
        </w:tc>
      </w:tr>
      <w:tr w:rsidR="00ED005C" w:rsidRPr="00ED005C" w14:paraId="04838B30" w14:textId="77777777">
        <w:trPr>
          <w:trHeight w:val="432"/>
          <w:jc w:val="center"/>
        </w:trPr>
        <w:tc>
          <w:tcPr>
            <w:tcW w:w="2517" w:type="dxa"/>
            <w:shd w:val="clear" w:color="auto" w:fill="FFFFFF" w:themeFill="background1"/>
            <w:vAlign w:val="center"/>
            <w:hideMark/>
          </w:tcPr>
          <w:p w14:paraId="4357A1C6" w14:textId="77777777" w:rsidR="004259F7" w:rsidRPr="008B0A70" w:rsidRDefault="004259F7">
            <w:pPr>
              <w:jc w:val="center"/>
              <w:rPr>
                <w:rFonts w:asciiTheme="majorBidi" w:hAnsiTheme="majorBidi" w:cstheme="majorBidi"/>
                <w:b/>
                <w:bCs/>
              </w:rPr>
            </w:pPr>
            <w:r w:rsidRPr="008B0A70">
              <w:rPr>
                <w:rFonts w:asciiTheme="majorBidi" w:hAnsiTheme="majorBidi" w:cstheme="majorBidi"/>
                <w:b/>
                <w:bCs/>
              </w:rPr>
              <w:t>Test</w:t>
            </w:r>
          </w:p>
        </w:tc>
        <w:tc>
          <w:tcPr>
            <w:tcW w:w="2160" w:type="dxa"/>
            <w:shd w:val="clear" w:color="auto" w:fill="FFFFFF" w:themeFill="background1"/>
            <w:vAlign w:val="center"/>
            <w:hideMark/>
          </w:tcPr>
          <w:p w14:paraId="13E5F343" w14:textId="77777777" w:rsidR="004259F7" w:rsidRPr="008B0A70" w:rsidRDefault="004259F7">
            <w:pPr>
              <w:jc w:val="center"/>
              <w:rPr>
                <w:rFonts w:asciiTheme="majorBidi" w:hAnsiTheme="majorBidi" w:cstheme="majorBidi"/>
                <w:b/>
                <w:bCs/>
              </w:rPr>
            </w:pPr>
            <w:r w:rsidRPr="008B0A70">
              <w:rPr>
                <w:rFonts w:asciiTheme="majorBidi" w:hAnsiTheme="majorBidi" w:cstheme="majorBidi"/>
                <w:b/>
                <w:bCs/>
              </w:rPr>
              <w:t>ASTM Reference</w:t>
            </w:r>
          </w:p>
        </w:tc>
        <w:tc>
          <w:tcPr>
            <w:tcW w:w="3420" w:type="dxa"/>
            <w:shd w:val="clear" w:color="auto" w:fill="FFFFFF" w:themeFill="background1"/>
            <w:vAlign w:val="center"/>
          </w:tcPr>
          <w:p w14:paraId="77B20C01" w14:textId="77777777" w:rsidR="004259F7" w:rsidRPr="008B0A70" w:rsidRDefault="004259F7">
            <w:pPr>
              <w:jc w:val="center"/>
              <w:rPr>
                <w:rFonts w:asciiTheme="majorBidi" w:hAnsiTheme="majorBidi" w:cstheme="majorBidi"/>
                <w:b/>
                <w:bCs/>
              </w:rPr>
            </w:pPr>
            <w:r w:rsidRPr="008B0A70">
              <w:rPr>
                <w:rFonts w:asciiTheme="majorBidi" w:hAnsiTheme="majorBidi" w:cstheme="majorBidi"/>
                <w:b/>
                <w:bCs/>
              </w:rPr>
              <w:t>Limits</w:t>
            </w:r>
          </w:p>
        </w:tc>
      </w:tr>
      <w:tr w:rsidR="00ED005C" w:rsidRPr="00ED005C" w14:paraId="6CB39DEA" w14:textId="77777777">
        <w:trPr>
          <w:cantSplit/>
          <w:trHeight w:val="432"/>
          <w:jc w:val="center"/>
        </w:trPr>
        <w:tc>
          <w:tcPr>
            <w:tcW w:w="2517" w:type="dxa"/>
            <w:vAlign w:val="center"/>
            <w:hideMark/>
          </w:tcPr>
          <w:p w14:paraId="457F57A0" w14:textId="77777777" w:rsidR="004259F7" w:rsidRPr="008B0A70" w:rsidRDefault="004259F7">
            <w:pPr>
              <w:jc w:val="center"/>
              <w:rPr>
                <w:rFonts w:asciiTheme="majorBidi" w:hAnsiTheme="majorBidi" w:cstheme="majorBidi"/>
              </w:rPr>
            </w:pPr>
            <w:r w:rsidRPr="008B0A70">
              <w:rPr>
                <w:rFonts w:asciiTheme="majorBidi" w:hAnsiTheme="majorBidi" w:cstheme="majorBidi"/>
              </w:rPr>
              <w:t>Fresh Density</w:t>
            </w:r>
          </w:p>
        </w:tc>
        <w:tc>
          <w:tcPr>
            <w:tcW w:w="2160" w:type="dxa"/>
            <w:vAlign w:val="center"/>
            <w:hideMark/>
          </w:tcPr>
          <w:p w14:paraId="41516EE4" w14:textId="77777777" w:rsidR="004259F7" w:rsidRPr="008B0A70" w:rsidRDefault="004259F7">
            <w:pPr>
              <w:jc w:val="center"/>
              <w:rPr>
                <w:rFonts w:asciiTheme="majorBidi" w:hAnsiTheme="majorBidi" w:cstheme="majorBidi"/>
              </w:rPr>
            </w:pPr>
            <w:r w:rsidRPr="008B0A70">
              <w:rPr>
                <w:rFonts w:asciiTheme="majorBidi" w:hAnsiTheme="majorBidi" w:cstheme="majorBidi"/>
              </w:rPr>
              <w:t>ASTM C138</w:t>
            </w:r>
          </w:p>
        </w:tc>
        <w:tc>
          <w:tcPr>
            <w:tcW w:w="3420" w:type="dxa"/>
            <w:vAlign w:val="center"/>
          </w:tcPr>
          <w:p w14:paraId="6C17EB87" w14:textId="77777777" w:rsidR="004259F7" w:rsidRPr="008B0A70" w:rsidRDefault="004259F7">
            <w:pPr>
              <w:jc w:val="center"/>
              <w:rPr>
                <w:rFonts w:asciiTheme="majorBidi" w:hAnsiTheme="majorBidi" w:cstheme="majorBidi"/>
              </w:rPr>
            </w:pPr>
            <w:r w:rsidRPr="008B0A70">
              <w:rPr>
                <w:rFonts w:asciiTheme="majorBidi" w:hAnsiTheme="majorBidi" w:cstheme="majorBidi"/>
              </w:rPr>
              <w:t>Before Pumping: 93 ± 4 (</w:t>
            </w:r>
            <w:proofErr w:type="spellStart"/>
            <w:r w:rsidRPr="008B0A70">
              <w:rPr>
                <w:rFonts w:asciiTheme="majorBidi" w:hAnsiTheme="majorBidi" w:cstheme="majorBidi"/>
              </w:rPr>
              <w:t>lb</w:t>
            </w:r>
            <w:proofErr w:type="spellEnd"/>
            <w:r w:rsidRPr="008B0A70">
              <w:rPr>
                <w:rFonts w:asciiTheme="majorBidi" w:hAnsiTheme="majorBidi" w:cstheme="majorBidi"/>
              </w:rPr>
              <w:t>/ft</w:t>
            </w:r>
            <w:r w:rsidRPr="008B0A70">
              <w:rPr>
                <w:rFonts w:asciiTheme="majorBidi" w:hAnsiTheme="majorBidi" w:cstheme="majorBidi"/>
                <w:vertAlign w:val="superscript"/>
              </w:rPr>
              <w:t>3</w:t>
            </w:r>
            <w:r w:rsidRPr="008B0A70">
              <w:rPr>
                <w:rFonts w:asciiTheme="majorBidi" w:hAnsiTheme="majorBidi" w:cstheme="majorBidi"/>
              </w:rPr>
              <w:t>)</w:t>
            </w:r>
          </w:p>
        </w:tc>
      </w:tr>
      <w:tr w:rsidR="00ED005C" w:rsidRPr="00ED005C" w14:paraId="2474381B" w14:textId="77777777">
        <w:trPr>
          <w:cantSplit/>
          <w:trHeight w:val="432"/>
          <w:jc w:val="center"/>
        </w:trPr>
        <w:tc>
          <w:tcPr>
            <w:tcW w:w="2517" w:type="dxa"/>
            <w:vAlign w:val="center"/>
            <w:hideMark/>
          </w:tcPr>
          <w:p w14:paraId="41BE0E39" w14:textId="77777777" w:rsidR="004259F7" w:rsidRPr="008B0A70" w:rsidRDefault="004259F7">
            <w:pPr>
              <w:jc w:val="center"/>
              <w:rPr>
                <w:rFonts w:asciiTheme="majorBidi" w:hAnsiTheme="majorBidi" w:cstheme="majorBidi"/>
              </w:rPr>
            </w:pPr>
            <w:r w:rsidRPr="008B0A70">
              <w:rPr>
                <w:rFonts w:asciiTheme="majorBidi" w:hAnsiTheme="majorBidi" w:cstheme="majorBidi"/>
              </w:rPr>
              <w:t>Flowability/Spread</w:t>
            </w:r>
          </w:p>
        </w:tc>
        <w:tc>
          <w:tcPr>
            <w:tcW w:w="2160" w:type="dxa"/>
            <w:vAlign w:val="center"/>
            <w:hideMark/>
          </w:tcPr>
          <w:p w14:paraId="3334700F" w14:textId="77777777" w:rsidR="004259F7" w:rsidRPr="008B0A70" w:rsidRDefault="004259F7">
            <w:pPr>
              <w:jc w:val="center"/>
              <w:rPr>
                <w:rFonts w:asciiTheme="majorBidi" w:hAnsiTheme="majorBidi" w:cstheme="majorBidi"/>
              </w:rPr>
            </w:pPr>
            <w:r w:rsidRPr="008B0A70">
              <w:rPr>
                <w:rFonts w:asciiTheme="majorBidi" w:hAnsiTheme="majorBidi" w:cstheme="majorBidi"/>
              </w:rPr>
              <w:t>ASTM D6103</w:t>
            </w:r>
          </w:p>
        </w:tc>
        <w:tc>
          <w:tcPr>
            <w:tcW w:w="3420" w:type="dxa"/>
            <w:vAlign w:val="center"/>
          </w:tcPr>
          <w:p w14:paraId="7DBBB0A2" w14:textId="77777777" w:rsidR="004259F7" w:rsidRPr="008B0A70" w:rsidRDefault="004259F7">
            <w:pPr>
              <w:jc w:val="center"/>
              <w:rPr>
                <w:rFonts w:asciiTheme="majorBidi" w:hAnsiTheme="majorBidi" w:cstheme="majorBidi"/>
              </w:rPr>
            </w:pPr>
            <w:r w:rsidRPr="008B0A70">
              <w:rPr>
                <w:rFonts w:asciiTheme="majorBidi" w:hAnsiTheme="majorBidi" w:cstheme="majorBidi"/>
              </w:rPr>
              <w:t>Minimum 9 in.</w:t>
            </w:r>
          </w:p>
        </w:tc>
      </w:tr>
      <w:tr w:rsidR="00ED005C" w:rsidRPr="00ED005C" w14:paraId="3E33FA7F" w14:textId="77777777">
        <w:trPr>
          <w:cantSplit/>
          <w:trHeight w:val="432"/>
          <w:jc w:val="center"/>
        </w:trPr>
        <w:tc>
          <w:tcPr>
            <w:tcW w:w="2517" w:type="dxa"/>
            <w:vAlign w:val="center"/>
            <w:hideMark/>
          </w:tcPr>
          <w:p w14:paraId="19992406" w14:textId="77777777" w:rsidR="004259F7" w:rsidRPr="008B0A70" w:rsidRDefault="004259F7">
            <w:pPr>
              <w:jc w:val="center"/>
              <w:rPr>
                <w:rFonts w:asciiTheme="majorBidi" w:hAnsiTheme="majorBidi" w:cstheme="majorBidi"/>
              </w:rPr>
            </w:pPr>
            <w:r w:rsidRPr="008B0A70">
              <w:rPr>
                <w:rFonts w:asciiTheme="majorBidi" w:hAnsiTheme="majorBidi" w:cstheme="majorBidi"/>
              </w:rPr>
              <w:t>Air Content</w:t>
            </w:r>
          </w:p>
        </w:tc>
        <w:tc>
          <w:tcPr>
            <w:tcW w:w="2160" w:type="dxa"/>
            <w:vAlign w:val="center"/>
            <w:hideMark/>
          </w:tcPr>
          <w:p w14:paraId="2307C735" w14:textId="77777777" w:rsidR="004259F7" w:rsidRPr="008B0A70" w:rsidRDefault="004259F7">
            <w:pPr>
              <w:jc w:val="center"/>
              <w:rPr>
                <w:rFonts w:asciiTheme="majorBidi" w:hAnsiTheme="majorBidi" w:cstheme="majorBidi"/>
              </w:rPr>
            </w:pPr>
            <w:r w:rsidRPr="008B0A70">
              <w:rPr>
                <w:rFonts w:asciiTheme="majorBidi" w:hAnsiTheme="majorBidi" w:cstheme="majorBidi"/>
              </w:rPr>
              <w:t>ASTM C138</w:t>
            </w:r>
          </w:p>
        </w:tc>
        <w:tc>
          <w:tcPr>
            <w:tcW w:w="3420" w:type="dxa"/>
            <w:vAlign w:val="center"/>
          </w:tcPr>
          <w:p w14:paraId="7C720B99" w14:textId="77777777" w:rsidR="004259F7" w:rsidRPr="008B0A70" w:rsidRDefault="004259F7">
            <w:pPr>
              <w:jc w:val="center"/>
              <w:rPr>
                <w:rFonts w:asciiTheme="majorBidi" w:hAnsiTheme="majorBidi" w:cstheme="majorBidi"/>
              </w:rPr>
            </w:pPr>
            <w:r w:rsidRPr="008B0A70">
              <w:rPr>
                <w:rFonts w:asciiTheme="majorBidi" w:hAnsiTheme="majorBidi" w:cstheme="majorBidi"/>
              </w:rPr>
              <w:t>30% ± 3%</w:t>
            </w:r>
          </w:p>
        </w:tc>
      </w:tr>
      <w:tr w:rsidR="00ED005C" w:rsidRPr="00ED005C" w14:paraId="6635D28B" w14:textId="77777777">
        <w:trPr>
          <w:cantSplit/>
          <w:trHeight w:val="432"/>
          <w:jc w:val="center"/>
        </w:trPr>
        <w:tc>
          <w:tcPr>
            <w:tcW w:w="2517" w:type="dxa"/>
            <w:vAlign w:val="center"/>
          </w:tcPr>
          <w:p w14:paraId="6B1DB52C" w14:textId="77777777" w:rsidR="004259F7" w:rsidRPr="008B0A70" w:rsidRDefault="004259F7">
            <w:pPr>
              <w:jc w:val="center"/>
              <w:rPr>
                <w:rFonts w:asciiTheme="majorBidi" w:hAnsiTheme="majorBidi" w:cstheme="majorBidi"/>
              </w:rPr>
            </w:pPr>
            <w:r w:rsidRPr="008B0A70">
              <w:rPr>
                <w:rFonts w:asciiTheme="majorBidi" w:hAnsiTheme="majorBidi" w:cstheme="majorBidi"/>
              </w:rPr>
              <w:t>Temperature</w:t>
            </w:r>
          </w:p>
        </w:tc>
        <w:tc>
          <w:tcPr>
            <w:tcW w:w="2160" w:type="dxa"/>
            <w:vAlign w:val="center"/>
          </w:tcPr>
          <w:p w14:paraId="6DBC4D6C" w14:textId="77777777" w:rsidR="004259F7" w:rsidRPr="008B0A70" w:rsidRDefault="004259F7">
            <w:pPr>
              <w:jc w:val="center"/>
              <w:rPr>
                <w:rFonts w:asciiTheme="majorBidi" w:hAnsiTheme="majorBidi" w:cstheme="majorBidi"/>
              </w:rPr>
            </w:pPr>
            <w:r w:rsidRPr="008B0A70">
              <w:rPr>
                <w:rFonts w:asciiTheme="majorBidi" w:hAnsiTheme="majorBidi" w:cstheme="majorBidi"/>
              </w:rPr>
              <w:t>ASTM C1064</w:t>
            </w:r>
          </w:p>
        </w:tc>
        <w:tc>
          <w:tcPr>
            <w:tcW w:w="3420" w:type="dxa"/>
            <w:vAlign w:val="center"/>
          </w:tcPr>
          <w:p w14:paraId="6BF30C90" w14:textId="77777777" w:rsidR="004259F7" w:rsidRPr="008B0A70" w:rsidRDefault="004259F7">
            <w:pPr>
              <w:jc w:val="center"/>
              <w:rPr>
                <w:rFonts w:asciiTheme="majorBidi" w:hAnsiTheme="majorBidi" w:cstheme="majorBidi"/>
              </w:rPr>
            </w:pPr>
            <w:r w:rsidRPr="008B0A70">
              <w:rPr>
                <w:rFonts w:asciiTheme="majorBidi" w:hAnsiTheme="majorBidi" w:cstheme="majorBidi"/>
              </w:rPr>
              <w:t>60</w:t>
            </w:r>
            <w:r w:rsidRPr="008B0A70">
              <w:rPr>
                <w:rFonts w:asciiTheme="majorBidi" w:eastAsia="Symbol" w:hAnsiTheme="majorBidi" w:cstheme="majorBidi"/>
              </w:rPr>
              <w:t>-</w:t>
            </w:r>
            <w:r w:rsidRPr="008B0A70">
              <w:rPr>
                <w:rFonts w:asciiTheme="majorBidi" w:hAnsiTheme="majorBidi" w:cstheme="majorBidi"/>
              </w:rPr>
              <w:t>70 (</w:t>
            </w:r>
            <w:proofErr w:type="spellStart"/>
            <w:r w:rsidRPr="008B0A70">
              <w:rPr>
                <w:rFonts w:asciiTheme="majorBidi" w:hAnsiTheme="majorBidi" w:cstheme="majorBidi"/>
                <w:vertAlign w:val="superscript"/>
              </w:rPr>
              <w:t>o</w:t>
            </w:r>
            <w:r w:rsidRPr="008B0A70">
              <w:rPr>
                <w:rFonts w:asciiTheme="majorBidi" w:hAnsiTheme="majorBidi" w:cstheme="majorBidi"/>
              </w:rPr>
              <w:t>F</w:t>
            </w:r>
            <w:proofErr w:type="spellEnd"/>
            <w:r w:rsidRPr="008B0A70">
              <w:rPr>
                <w:rFonts w:asciiTheme="majorBidi" w:hAnsiTheme="majorBidi" w:cstheme="majorBidi"/>
              </w:rPr>
              <w:t>)</w:t>
            </w:r>
          </w:p>
        </w:tc>
      </w:tr>
    </w:tbl>
    <w:p w14:paraId="089FFAB7" w14:textId="77777777" w:rsidR="003F2E5A" w:rsidRDefault="003F2E5A" w:rsidP="008B0A70">
      <w:pPr>
        <w:pStyle w:val="ListParagraph"/>
        <w:tabs>
          <w:tab w:val="left" w:pos="307"/>
        </w:tabs>
        <w:spacing w:line="242" w:lineRule="auto"/>
        <w:ind w:right="115"/>
        <w:rPr>
          <w:sz w:val="24"/>
        </w:rPr>
      </w:pPr>
    </w:p>
    <w:p w14:paraId="39DAFD6E" w14:textId="2CA9C965" w:rsidR="004259F7" w:rsidRPr="008B0A70" w:rsidRDefault="003853D1" w:rsidP="008B0A70">
      <w:pPr>
        <w:pStyle w:val="ListParagraph"/>
        <w:tabs>
          <w:tab w:val="left" w:pos="307"/>
        </w:tabs>
        <w:spacing w:line="242" w:lineRule="auto"/>
        <w:ind w:right="115"/>
        <w:rPr>
          <w:sz w:val="24"/>
        </w:rPr>
      </w:pPr>
      <w:r w:rsidRPr="008B0A70">
        <w:rPr>
          <w:sz w:val="24"/>
        </w:rPr>
        <w:lastRenderedPageBreak/>
        <w:t>L.</w:t>
      </w:r>
      <w:r w:rsidR="004259F7" w:rsidRPr="008B0A70">
        <w:rPr>
          <w:sz w:val="24"/>
        </w:rPr>
        <w:t xml:space="preserve"> Cellular Grout</w:t>
      </w:r>
      <w:r w:rsidR="000528C7" w:rsidRPr="008B0A70">
        <w:rPr>
          <w:sz w:val="24"/>
        </w:rPr>
        <w:t xml:space="preserve">: </w:t>
      </w:r>
      <w:r w:rsidR="004259F7" w:rsidRPr="008B0A70">
        <w:rPr>
          <w:sz w:val="24"/>
        </w:rPr>
        <w:t xml:space="preserve">Provide Cellular Grout with </w:t>
      </w:r>
      <w:proofErr w:type="gramStart"/>
      <w:r w:rsidR="004259F7" w:rsidRPr="008B0A70">
        <w:rPr>
          <w:sz w:val="24"/>
        </w:rPr>
        <w:t>mix</w:t>
      </w:r>
      <w:proofErr w:type="gramEnd"/>
      <w:r w:rsidR="004259F7" w:rsidRPr="008B0A70">
        <w:rPr>
          <w:sz w:val="24"/>
        </w:rPr>
        <w:t xml:space="preserve"> </w:t>
      </w:r>
      <w:proofErr w:type="gramStart"/>
      <w:r w:rsidR="004259F7" w:rsidRPr="008B0A70">
        <w:rPr>
          <w:sz w:val="24"/>
        </w:rPr>
        <w:t>proportion</w:t>
      </w:r>
      <w:proofErr w:type="gramEnd"/>
      <w:r w:rsidR="004259F7" w:rsidRPr="008B0A70">
        <w:rPr>
          <w:sz w:val="24"/>
        </w:rPr>
        <w:t xml:space="preserve"> as specified in Table 837.03-3 and meeting the pre-pumping test requirements shown in Table 837.03-4. Add </w:t>
      </w:r>
      <w:proofErr w:type="gramStart"/>
      <w:r w:rsidR="004259F7" w:rsidRPr="008B0A70">
        <w:rPr>
          <w:sz w:val="24"/>
        </w:rPr>
        <w:t>foam</w:t>
      </w:r>
      <w:proofErr w:type="gramEnd"/>
      <w:r w:rsidR="004259F7" w:rsidRPr="008B0A70">
        <w:rPr>
          <w:sz w:val="24"/>
        </w:rPr>
        <w:t xml:space="preserve"> meeting the requirements of ASTM C869. </w:t>
      </w:r>
    </w:p>
    <w:p w14:paraId="2CF726F7" w14:textId="77777777" w:rsidR="004259F7" w:rsidRPr="008B0A70" w:rsidRDefault="004259F7" w:rsidP="004259F7">
      <w:pPr>
        <w:pStyle w:val="Title"/>
        <w:spacing w:after="40"/>
        <w:rPr>
          <w:rFonts w:ascii="Times New Roman" w:eastAsia="Times New Roman" w:hAnsi="Times New Roman"/>
          <w:b/>
          <w:bCs/>
          <w:szCs w:val="22"/>
        </w:rPr>
      </w:pPr>
      <w:r w:rsidRPr="008B0A70">
        <w:rPr>
          <w:rFonts w:ascii="Times New Roman" w:eastAsia="Times New Roman" w:hAnsi="Times New Roman"/>
          <w:b/>
          <w:bCs/>
          <w:szCs w:val="22"/>
        </w:rPr>
        <w:t>TABLE 837.03-3</w:t>
      </w:r>
    </w:p>
    <w:tbl>
      <w:tblPr>
        <w:tblStyle w:val="TableGrid"/>
        <w:tblW w:w="0" w:type="auto"/>
        <w:jc w:val="center"/>
        <w:tblLook w:val="04A0" w:firstRow="1" w:lastRow="0" w:firstColumn="1" w:lastColumn="0" w:noHBand="0" w:noVBand="1"/>
      </w:tblPr>
      <w:tblGrid>
        <w:gridCol w:w="3116"/>
        <w:gridCol w:w="3117"/>
      </w:tblGrid>
      <w:tr w:rsidR="00ED005C" w:rsidRPr="00ED005C" w14:paraId="1710CA43" w14:textId="77777777">
        <w:trPr>
          <w:trHeight w:val="432"/>
          <w:jc w:val="center"/>
        </w:trPr>
        <w:tc>
          <w:tcPr>
            <w:tcW w:w="3116" w:type="dxa"/>
            <w:vAlign w:val="center"/>
          </w:tcPr>
          <w:p w14:paraId="209E9312" w14:textId="77777777" w:rsidR="004259F7" w:rsidRPr="008B0A70" w:rsidRDefault="004259F7">
            <w:pPr>
              <w:contextualSpacing/>
              <w:jc w:val="center"/>
              <w:rPr>
                <w:rFonts w:asciiTheme="majorBidi" w:hAnsiTheme="majorBidi" w:cstheme="majorBidi"/>
                <w:b/>
                <w:bCs/>
              </w:rPr>
            </w:pPr>
            <w:r w:rsidRPr="008B0A70">
              <w:rPr>
                <w:rFonts w:asciiTheme="majorBidi" w:hAnsiTheme="majorBidi" w:cstheme="majorBidi"/>
                <w:b/>
                <w:bCs/>
              </w:rPr>
              <w:t>Materials</w:t>
            </w:r>
          </w:p>
        </w:tc>
        <w:tc>
          <w:tcPr>
            <w:tcW w:w="3117" w:type="dxa"/>
            <w:vAlign w:val="center"/>
          </w:tcPr>
          <w:p w14:paraId="7E7CDBFF" w14:textId="77777777" w:rsidR="004259F7" w:rsidRPr="008B0A70" w:rsidRDefault="004259F7">
            <w:pPr>
              <w:contextualSpacing/>
              <w:jc w:val="center"/>
              <w:rPr>
                <w:rFonts w:asciiTheme="majorBidi" w:hAnsiTheme="majorBidi" w:cstheme="majorBidi"/>
                <w:b/>
                <w:bCs/>
              </w:rPr>
            </w:pPr>
            <w:r w:rsidRPr="008B0A70">
              <w:rPr>
                <w:rFonts w:asciiTheme="majorBidi" w:hAnsiTheme="majorBidi" w:cstheme="majorBidi"/>
                <w:b/>
                <w:bCs/>
              </w:rPr>
              <w:t>Amount</w:t>
            </w:r>
          </w:p>
        </w:tc>
      </w:tr>
      <w:tr w:rsidR="00ED005C" w:rsidRPr="00ED005C" w14:paraId="276960B2" w14:textId="77777777">
        <w:trPr>
          <w:trHeight w:val="432"/>
          <w:jc w:val="center"/>
        </w:trPr>
        <w:tc>
          <w:tcPr>
            <w:tcW w:w="3116" w:type="dxa"/>
            <w:vAlign w:val="center"/>
          </w:tcPr>
          <w:p w14:paraId="7A2C334B" w14:textId="77777777" w:rsidR="004259F7" w:rsidRPr="008B0A70" w:rsidRDefault="004259F7">
            <w:pPr>
              <w:jc w:val="center"/>
              <w:rPr>
                <w:rFonts w:asciiTheme="majorBidi" w:hAnsiTheme="majorBidi" w:cstheme="majorBidi"/>
              </w:rPr>
            </w:pPr>
            <w:r w:rsidRPr="008B0A70">
              <w:rPr>
                <w:rFonts w:asciiTheme="majorBidi" w:hAnsiTheme="majorBidi" w:cstheme="majorBidi"/>
              </w:rPr>
              <w:t>Cement Type I (</w:t>
            </w:r>
            <w:proofErr w:type="spellStart"/>
            <w:r w:rsidRPr="008B0A70">
              <w:rPr>
                <w:rFonts w:asciiTheme="majorBidi" w:hAnsiTheme="majorBidi" w:cstheme="majorBidi"/>
              </w:rPr>
              <w:t>lb</w:t>
            </w:r>
            <w:proofErr w:type="spellEnd"/>
            <w:r w:rsidRPr="008B0A70">
              <w:rPr>
                <w:rFonts w:asciiTheme="majorBidi" w:hAnsiTheme="majorBidi" w:cstheme="majorBidi"/>
              </w:rPr>
              <w:t>/yd</w:t>
            </w:r>
            <w:r w:rsidRPr="008B0A70">
              <w:rPr>
                <w:rFonts w:asciiTheme="majorBidi" w:hAnsiTheme="majorBidi" w:cstheme="majorBidi"/>
                <w:vertAlign w:val="superscript"/>
              </w:rPr>
              <w:t>3</w:t>
            </w:r>
            <w:r w:rsidRPr="008B0A70">
              <w:rPr>
                <w:rFonts w:asciiTheme="majorBidi" w:hAnsiTheme="majorBidi" w:cstheme="majorBidi"/>
              </w:rPr>
              <w:t>)</w:t>
            </w:r>
          </w:p>
        </w:tc>
        <w:tc>
          <w:tcPr>
            <w:tcW w:w="3117" w:type="dxa"/>
            <w:vAlign w:val="center"/>
          </w:tcPr>
          <w:p w14:paraId="0CB8C4FA" w14:textId="77777777" w:rsidR="004259F7" w:rsidRPr="008B0A70" w:rsidRDefault="004259F7">
            <w:pPr>
              <w:contextualSpacing/>
              <w:jc w:val="center"/>
              <w:rPr>
                <w:rFonts w:asciiTheme="majorBidi" w:eastAsia="Cambria" w:hAnsiTheme="majorBidi" w:cstheme="majorBidi"/>
                <w:kern w:val="24"/>
              </w:rPr>
            </w:pPr>
            <w:r w:rsidRPr="008B0A70">
              <w:rPr>
                <w:rFonts w:asciiTheme="majorBidi" w:eastAsia="Cambria" w:hAnsiTheme="majorBidi" w:cstheme="majorBidi"/>
                <w:kern w:val="24"/>
              </w:rPr>
              <w:t>Minimum 700</w:t>
            </w:r>
          </w:p>
        </w:tc>
      </w:tr>
      <w:tr w:rsidR="00ED005C" w:rsidRPr="00ED005C" w14:paraId="1F157993" w14:textId="77777777">
        <w:trPr>
          <w:trHeight w:val="432"/>
          <w:jc w:val="center"/>
        </w:trPr>
        <w:tc>
          <w:tcPr>
            <w:tcW w:w="3116" w:type="dxa"/>
            <w:vAlign w:val="center"/>
          </w:tcPr>
          <w:p w14:paraId="10AF5725" w14:textId="77777777" w:rsidR="004259F7" w:rsidRPr="008B0A70" w:rsidRDefault="004259F7">
            <w:pPr>
              <w:contextualSpacing/>
              <w:jc w:val="center"/>
              <w:rPr>
                <w:rFonts w:asciiTheme="majorBidi" w:eastAsia="Cambria" w:hAnsiTheme="majorBidi" w:cstheme="majorBidi"/>
                <w:kern w:val="24"/>
              </w:rPr>
            </w:pPr>
            <w:r w:rsidRPr="008B0A70">
              <w:rPr>
                <w:rFonts w:asciiTheme="majorBidi" w:eastAsia="Cambria" w:hAnsiTheme="majorBidi" w:cstheme="majorBidi"/>
                <w:kern w:val="24"/>
              </w:rPr>
              <w:t>Water (gallons)</w:t>
            </w:r>
          </w:p>
        </w:tc>
        <w:tc>
          <w:tcPr>
            <w:tcW w:w="3117" w:type="dxa"/>
            <w:vAlign w:val="center"/>
          </w:tcPr>
          <w:p w14:paraId="31AEEF0C" w14:textId="77777777" w:rsidR="004259F7" w:rsidRPr="008B0A70" w:rsidRDefault="004259F7">
            <w:pPr>
              <w:contextualSpacing/>
              <w:jc w:val="center"/>
              <w:rPr>
                <w:rFonts w:asciiTheme="majorBidi" w:eastAsia="Cambria" w:hAnsiTheme="majorBidi" w:cstheme="majorBidi"/>
                <w:kern w:val="24"/>
              </w:rPr>
            </w:pPr>
            <w:r w:rsidRPr="008B0A70">
              <w:rPr>
                <w:rFonts w:asciiTheme="majorBidi" w:eastAsia="Cambria" w:hAnsiTheme="majorBidi" w:cstheme="majorBidi"/>
                <w:kern w:val="24"/>
              </w:rPr>
              <w:t>39</w:t>
            </w:r>
            <w:r w:rsidRPr="008B0A70">
              <w:rPr>
                <w:rFonts w:asciiTheme="majorBidi" w:eastAsia="Symbol" w:hAnsiTheme="majorBidi" w:cstheme="majorBidi"/>
                <w:kern w:val="24"/>
              </w:rPr>
              <w:t>-</w:t>
            </w:r>
            <w:r w:rsidRPr="008B0A70">
              <w:rPr>
                <w:rFonts w:asciiTheme="majorBidi" w:eastAsia="Cambria" w:hAnsiTheme="majorBidi" w:cstheme="majorBidi"/>
                <w:kern w:val="24"/>
              </w:rPr>
              <w:t>42</w:t>
            </w:r>
          </w:p>
        </w:tc>
      </w:tr>
      <w:tr w:rsidR="00ED005C" w:rsidRPr="00ED005C" w14:paraId="11CF029D" w14:textId="77777777">
        <w:trPr>
          <w:trHeight w:val="432"/>
          <w:jc w:val="center"/>
        </w:trPr>
        <w:tc>
          <w:tcPr>
            <w:tcW w:w="3116" w:type="dxa"/>
            <w:vAlign w:val="center"/>
          </w:tcPr>
          <w:p w14:paraId="15E5CA8E" w14:textId="77777777" w:rsidR="004259F7" w:rsidRPr="008B0A70" w:rsidRDefault="004259F7">
            <w:pPr>
              <w:contextualSpacing/>
              <w:jc w:val="center"/>
              <w:rPr>
                <w:rFonts w:asciiTheme="majorBidi" w:eastAsia="Cambria" w:hAnsiTheme="majorBidi" w:cstheme="majorBidi"/>
                <w:kern w:val="24"/>
              </w:rPr>
            </w:pPr>
            <w:r w:rsidRPr="008B0A70">
              <w:rPr>
                <w:rFonts w:asciiTheme="majorBidi" w:eastAsia="Cambria" w:hAnsiTheme="majorBidi" w:cstheme="majorBidi"/>
                <w:kern w:val="24"/>
              </w:rPr>
              <w:t>W/C</w:t>
            </w:r>
          </w:p>
        </w:tc>
        <w:tc>
          <w:tcPr>
            <w:tcW w:w="3117" w:type="dxa"/>
            <w:vAlign w:val="center"/>
          </w:tcPr>
          <w:p w14:paraId="2B986E5F" w14:textId="77777777" w:rsidR="004259F7" w:rsidRPr="008B0A70" w:rsidRDefault="004259F7">
            <w:pPr>
              <w:contextualSpacing/>
              <w:jc w:val="center"/>
              <w:rPr>
                <w:rFonts w:asciiTheme="majorBidi" w:hAnsiTheme="majorBidi" w:cstheme="majorBidi"/>
              </w:rPr>
            </w:pPr>
            <w:r w:rsidRPr="008B0A70">
              <w:rPr>
                <w:rFonts w:asciiTheme="majorBidi" w:hAnsiTheme="majorBidi" w:cstheme="majorBidi"/>
              </w:rPr>
              <w:t>0.46</w:t>
            </w:r>
            <w:r w:rsidRPr="008B0A70">
              <w:rPr>
                <w:rFonts w:asciiTheme="majorBidi" w:eastAsia="Symbol" w:hAnsiTheme="majorBidi" w:cstheme="majorBidi"/>
              </w:rPr>
              <w:t>-</w:t>
            </w:r>
            <w:r w:rsidRPr="008B0A70">
              <w:rPr>
                <w:rFonts w:asciiTheme="majorBidi" w:hAnsiTheme="majorBidi" w:cstheme="majorBidi"/>
              </w:rPr>
              <w:t>0.50</w:t>
            </w:r>
          </w:p>
        </w:tc>
      </w:tr>
      <w:tr w:rsidR="00ED005C" w:rsidRPr="00ED005C" w14:paraId="2A4C0F00" w14:textId="77777777">
        <w:trPr>
          <w:trHeight w:val="432"/>
          <w:jc w:val="center"/>
        </w:trPr>
        <w:tc>
          <w:tcPr>
            <w:tcW w:w="3116" w:type="dxa"/>
            <w:vAlign w:val="center"/>
          </w:tcPr>
          <w:p w14:paraId="4DA3FB2E" w14:textId="77777777" w:rsidR="004259F7" w:rsidRPr="008B0A70" w:rsidRDefault="004259F7">
            <w:pPr>
              <w:contextualSpacing/>
              <w:jc w:val="center"/>
              <w:rPr>
                <w:rFonts w:asciiTheme="majorBidi" w:eastAsia="Cambria" w:hAnsiTheme="majorBidi" w:cstheme="majorBidi"/>
                <w:kern w:val="24"/>
              </w:rPr>
            </w:pPr>
            <w:r w:rsidRPr="008B0A70">
              <w:rPr>
                <w:rFonts w:asciiTheme="majorBidi" w:eastAsia="Cambria" w:hAnsiTheme="majorBidi" w:cstheme="majorBidi"/>
                <w:kern w:val="24"/>
              </w:rPr>
              <w:t>*Foam (</w:t>
            </w:r>
            <w:proofErr w:type="spellStart"/>
            <w:r w:rsidRPr="008B0A70">
              <w:rPr>
                <w:rFonts w:asciiTheme="majorBidi" w:eastAsia="Cambria" w:hAnsiTheme="majorBidi" w:cstheme="majorBidi"/>
                <w:kern w:val="24"/>
              </w:rPr>
              <w:t>lb</w:t>
            </w:r>
            <w:proofErr w:type="spellEnd"/>
            <w:r w:rsidRPr="008B0A70">
              <w:rPr>
                <w:rFonts w:asciiTheme="majorBidi" w:eastAsia="Cambria" w:hAnsiTheme="majorBidi" w:cstheme="majorBidi"/>
                <w:kern w:val="24"/>
              </w:rPr>
              <w:t>/yd</w:t>
            </w:r>
            <w:r w:rsidRPr="008B0A70">
              <w:rPr>
                <w:rFonts w:asciiTheme="majorBidi" w:eastAsia="Cambria" w:hAnsiTheme="majorBidi" w:cstheme="majorBidi"/>
                <w:kern w:val="24"/>
                <w:vertAlign w:val="superscript"/>
              </w:rPr>
              <w:t>3</w:t>
            </w:r>
            <w:r w:rsidRPr="008B0A70">
              <w:rPr>
                <w:rFonts w:asciiTheme="majorBidi" w:eastAsia="Cambria" w:hAnsiTheme="majorBidi" w:cstheme="majorBidi"/>
                <w:kern w:val="24"/>
              </w:rPr>
              <w:t>)</w:t>
            </w:r>
          </w:p>
        </w:tc>
        <w:tc>
          <w:tcPr>
            <w:tcW w:w="3117" w:type="dxa"/>
            <w:vAlign w:val="center"/>
          </w:tcPr>
          <w:p w14:paraId="26E7EBC1" w14:textId="77777777" w:rsidR="004259F7" w:rsidRPr="008B0A70" w:rsidRDefault="004259F7">
            <w:pPr>
              <w:contextualSpacing/>
              <w:jc w:val="center"/>
              <w:rPr>
                <w:rFonts w:asciiTheme="majorBidi" w:hAnsiTheme="majorBidi" w:cstheme="majorBidi"/>
              </w:rPr>
            </w:pPr>
            <w:r w:rsidRPr="008B0A70">
              <w:rPr>
                <w:rFonts w:asciiTheme="majorBidi" w:hAnsiTheme="majorBidi" w:cstheme="majorBidi"/>
              </w:rPr>
              <w:t>0.6</w:t>
            </w:r>
          </w:p>
        </w:tc>
      </w:tr>
      <w:tr w:rsidR="00ED005C" w:rsidRPr="00ED005C" w14:paraId="454CC8F5" w14:textId="77777777">
        <w:trPr>
          <w:trHeight w:val="432"/>
          <w:jc w:val="center"/>
        </w:trPr>
        <w:tc>
          <w:tcPr>
            <w:tcW w:w="3116" w:type="dxa"/>
            <w:vAlign w:val="center"/>
          </w:tcPr>
          <w:p w14:paraId="42E83C35" w14:textId="77777777" w:rsidR="004259F7" w:rsidRPr="008B0A70" w:rsidRDefault="004259F7">
            <w:pPr>
              <w:contextualSpacing/>
              <w:jc w:val="center"/>
              <w:rPr>
                <w:rFonts w:asciiTheme="majorBidi" w:eastAsia="Cambria" w:hAnsiTheme="majorBidi" w:cstheme="majorBidi"/>
                <w:kern w:val="24"/>
              </w:rPr>
            </w:pPr>
            <w:r w:rsidRPr="008B0A70">
              <w:rPr>
                <w:rFonts w:asciiTheme="majorBidi" w:eastAsia="Cambria" w:hAnsiTheme="majorBidi" w:cstheme="majorBidi"/>
                <w:kern w:val="24"/>
              </w:rPr>
              <w:t>Target Density (</w:t>
            </w:r>
            <w:proofErr w:type="spellStart"/>
            <w:r w:rsidRPr="008B0A70">
              <w:rPr>
                <w:rFonts w:asciiTheme="majorBidi" w:eastAsia="Cambria" w:hAnsiTheme="majorBidi" w:cstheme="majorBidi"/>
                <w:kern w:val="24"/>
              </w:rPr>
              <w:t>lb</w:t>
            </w:r>
            <w:proofErr w:type="spellEnd"/>
            <w:r w:rsidRPr="008B0A70">
              <w:rPr>
                <w:rFonts w:asciiTheme="majorBidi" w:eastAsia="Cambria" w:hAnsiTheme="majorBidi" w:cstheme="majorBidi"/>
                <w:kern w:val="24"/>
              </w:rPr>
              <w:t>/ft</w:t>
            </w:r>
            <w:r w:rsidRPr="008B0A70">
              <w:rPr>
                <w:rFonts w:asciiTheme="majorBidi" w:eastAsia="Cambria" w:hAnsiTheme="majorBidi" w:cstheme="majorBidi"/>
                <w:kern w:val="24"/>
                <w:vertAlign w:val="superscript"/>
              </w:rPr>
              <w:t>3</w:t>
            </w:r>
            <w:r w:rsidRPr="008B0A70">
              <w:rPr>
                <w:rFonts w:asciiTheme="majorBidi" w:eastAsia="Cambria" w:hAnsiTheme="majorBidi" w:cstheme="majorBidi"/>
                <w:kern w:val="24"/>
              </w:rPr>
              <w:t>)</w:t>
            </w:r>
          </w:p>
        </w:tc>
        <w:tc>
          <w:tcPr>
            <w:tcW w:w="3117" w:type="dxa"/>
            <w:vAlign w:val="center"/>
          </w:tcPr>
          <w:p w14:paraId="625A827C" w14:textId="77777777" w:rsidR="004259F7" w:rsidRPr="008B0A70" w:rsidRDefault="004259F7">
            <w:pPr>
              <w:contextualSpacing/>
              <w:jc w:val="center"/>
              <w:rPr>
                <w:rFonts w:asciiTheme="majorBidi" w:hAnsiTheme="majorBidi" w:cstheme="majorBidi"/>
              </w:rPr>
            </w:pPr>
            <w:r w:rsidRPr="008B0A70">
              <w:rPr>
                <w:rFonts w:asciiTheme="majorBidi" w:eastAsia="Cambria" w:hAnsiTheme="majorBidi" w:cstheme="majorBidi"/>
                <w:kern w:val="24"/>
              </w:rPr>
              <w:t>40 ± 3</w:t>
            </w:r>
          </w:p>
        </w:tc>
      </w:tr>
    </w:tbl>
    <w:p w14:paraId="2DC626C9" w14:textId="77777777" w:rsidR="004259F7" w:rsidRPr="008B0A70" w:rsidRDefault="004259F7" w:rsidP="004259F7">
      <w:pPr>
        <w:contextualSpacing/>
        <w:jc w:val="center"/>
        <w:rPr>
          <w:rFonts w:asciiTheme="majorBidi" w:eastAsia="Cambria" w:hAnsiTheme="majorBidi" w:cstheme="majorBidi"/>
          <w:i/>
          <w:iCs/>
          <w:kern w:val="24"/>
          <w:sz w:val="20"/>
          <w:szCs w:val="20"/>
        </w:rPr>
      </w:pPr>
      <w:r w:rsidRPr="008B0A70">
        <w:rPr>
          <w:rFonts w:asciiTheme="majorBidi" w:eastAsia="Cambria" w:hAnsiTheme="majorBidi" w:cstheme="majorBidi"/>
          <w:i/>
          <w:iCs/>
          <w:kern w:val="24"/>
          <w:sz w:val="20"/>
          <w:szCs w:val="20"/>
        </w:rPr>
        <w:t>* Added at the site; above amount is suggested, but may be modified to meet the pre-pumping requirements</w:t>
      </w:r>
    </w:p>
    <w:p w14:paraId="25CAC74F" w14:textId="77777777" w:rsidR="004259F7" w:rsidRPr="008B0A70" w:rsidRDefault="004259F7" w:rsidP="004259F7">
      <w:pPr>
        <w:pStyle w:val="ListParagraph"/>
        <w:tabs>
          <w:tab w:val="left" w:pos="307"/>
        </w:tabs>
        <w:spacing w:line="242" w:lineRule="auto"/>
        <w:ind w:right="115"/>
        <w:rPr>
          <w:sz w:val="24"/>
        </w:rPr>
      </w:pPr>
    </w:p>
    <w:p w14:paraId="6F4CF6D1" w14:textId="77777777" w:rsidR="004259F7" w:rsidRPr="008B0A70" w:rsidRDefault="004259F7" w:rsidP="004259F7">
      <w:pPr>
        <w:pStyle w:val="Title"/>
        <w:spacing w:after="40"/>
        <w:rPr>
          <w:rFonts w:ascii="Times New Roman" w:eastAsia="Times New Roman" w:hAnsi="Times New Roman"/>
          <w:b/>
          <w:bCs/>
          <w:szCs w:val="22"/>
        </w:rPr>
      </w:pPr>
      <w:bookmarkStart w:id="13" w:name="_Hlk149548419"/>
      <w:r w:rsidRPr="008B0A70">
        <w:rPr>
          <w:rFonts w:ascii="Times New Roman" w:eastAsia="Times New Roman" w:hAnsi="Times New Roman"/>
          <w:b/>
          <w:bCs/>
          <w:szCs w:val="22"/>
        </w:rPr>
        <w:t>TABLE 837.03-4</w:t>
      </w:r>
    </w:p>
    <w:tbl>
      <w:tblPr>
        <w:tblW w:w="80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17"/>
        <w:gridCol w:w="2160"/>
        <w:gridCol w:w="3420"/>
      </w:tblGrid>
      <w:tr w:rsidR="00ED005C" w:rsidRPr="00ED005C" w14:paraId="499CDF30" w14:textId="77777777">
        <w:trPr>
          <w:trHeight w:val="432"/>
          <w:jc w:val="center"/>
        </w:trPr>
        <w:tc>
          <w:tcPr>
            <w:tcW w:w="8097" w:type="dxa"/>
            <w:gridSpan w:val="3"/>
            <w:shd w:val="clear" w:color="auto" w:fill="FFFFFF" w:themeFill="background1"/>
            <w:vAlign w:val="center"/>
          </w:tcPr>
          <w:bookmarkEnd w:id="13"/>
          <w:p w14:paraId="76A596F3" w14:textId="77777777" w:rsidR="004259F7" w:rsidRPr="008B0A70" w:rsidRDefault="004259F7">
            <w:pPr>
              <w:jc w:val="center"/>
              <w:rPr>
                <w:b/>
                <w:bCs/>
              </w:rPr>
            </w:pPr>
            <w:r w:rsidRPr="008B0A70">
              <w:rPr>
                <w:b/>
                <w:bCs/>
              </w:rPr>
              <w:t>Fresh Grout Properties to be Met Before Pumping is Permitted</w:t>
            </w:r>
          </w:p>
        </w:tc>
      </w:tr>
      <w:tr w:rsidR="00ED005C" w:rsidRPr="00ED005C" w14:paraId="7D3B968F" w14:textId="77777777">
        <w:trPr>
          <w:trHeight w:val="432"/>
          <w:jc w:val="center"/>
        </w:trPr>
        <w:tc>
          <w:tcPr>
            <w:tcW w:w="2517" w:type="dxa"/>
            <w:shd w:val="clear" w:color="auto" w:fill="FFFFFF" w:themeFill="background1"/>
            <w:vAlign w:val="center"/>
            <w:hideMark/>
          </w:tcPr>
          <w:p w14:paraId="222B1878" w14:textId="77777777" w:rsidR="004259F7" w:rsidRPr="008B0A70" w:rsidRDefault="004259F7">
            <w:pPr>
              <w:jc w:val="center"/>
              <w:rPr>
                <w:b/>
                <w:bCs/>
              </w:rPr>
            </w:pPr>
            <w:r w:rsidRPr="008B0A70">
              <w:rPr>
                <w:b/>
                <w:bCs/>
              </w:rPr>
              <w:t>Test</w:t>
            </w:r>
          </w:p>
        </w:tc>
        <w:tc>
          <w:tcPr>
            <w:tcW w:w="2160" w:type="dxa"/>
            <w:shd w:val="clear" w:color="auto" w:fill="FFFFFF" w:themeFill="background1"/>
            <w:vAlign w:val="center"/>
            <w:hideMark/>
          </w:tcPr>
          <w:p w14:paraId="6A5679E0" w14:textId="77777777" w:rsidR="004259F7" w:rsidRPr="008B0A70" w:rsidRDefault="004259F7">
            <w:pPr>
              <w:jc w:val="center"/>
              <w:rPr>
                <w:b/>
                <w:bCs/>
              </w:rPr>
            </w:pPr>
            <w:r w:rsidRPr="008B0A70">
              <w:rPr>
                <w:b/>
                <w:bCs/>
              </w:rPr>
              <w:t>ASTM Reference</w:t>
            </w:r>
          </w:p>
        </w:tc>
        <w:tc>
          <w:tcPr>
            <w:tcW w:w="3420" w:type="dxa"/>
            <w:shd w:val="clear" w:color="auto" w:fill="FFFFFF" w:themeFill="background1"/>
            <w:vAlign w:val="center"/>
          </w:tcPr>
          <w:p w14:paraId="128E6EC1" w14:textId="77777777" w:rsidR="004259F7" w:rsidRPr="008B0A70" w:rsidRDefault="004259F7">
            <w:pPr>
              <w:jc w:val="center"/>
              <w:rPr>
                <w:b/>
                <w:bCs/>
              </w:rPr>
            </w:pPr>
            <w:r w:rsidRPr="008B0A70">
              <w:rPr>
                <w:b/>
                <w:bCs/>
              </w:rPr>
              <w:t>Limits</w:t>
            </w:r>
          </w:p>
        </w:tc>
      </w:tr>
      <w:tr w:rsidR="00ED005C" w:rsidRPr="00ED005C" w14:paraId="41FD6989" w14:textId="77777777">
        <w:trPr>
          <w:cantSplit/>
          <w:trHeight w:val="432"/>
          <w:jc w:val="center"/>
        </w:trPr>
        <w:tc>
          <w:tcPr>
            <w:tcW w:w="2517" w:type="dxa"/>
            <w:vAlign w:val="center"/>
            <w:hideMark/>
          </w:tcPr>
          <w:p w14:paraId="720BF1D8" w14:textId="77777777" w:rsidR="004259F7" w:rsidRPr="008B0A70" w:rsidRDefault="004259F7">
            <w:pPr>
              <w:jc w:val="center"/>
            </w:pPr>
            <w:r w:rsidRPr="008B0A70">
              <w:t>Fresh Density</w:t>
            </w:r>
          </w:p>
        </w:tc>
        <w:tc>
          <w:tcPr>
            <w:tcW w:w="2160" w:type="dxa"/>
            <w:vAlign w:val="center"/>
            <w:hideMark/>
          </w:tcPr>
          <w:p w14:paraId="4F49DC16" w14:textId="77777777" w:rsidR="004259F7" w:rsidRPr="008B0A70" w:rsidRDefault="004259F7">
            <w:pPr>
              <w:jc w:val="center"/>
            </w:pPr>
            <w:r w:rsidRPr="008B0A70">
              <w:t>ASTM C138</w:t>
            </w:r>
          </w:p>
        </w:tc>
        <w:tc>
          <w:tcPr>
            <w:tcW w:w="3420" w:type="dxa"/>
            <w:vAlign w:val="center"/>
          </w:tcPr>
          <w:p w14:paraId="5F8D1221" w14:textId="77777777" w:rsidR="004259F7" w:rsidRPr="008B0A70" w:rsidRDefault="004259F7">
            <w:pPr>
              <w:jc w:val="center"/>
            </w:pPr>
            <w:r w:rsidRPr="008B0A70">
              <w:t>Before Pumping: 40 ± 3 (</w:t>
            </w:r>
            <w:proofErr w:type="spellStart"/>
            <w:r w:rsidRPr="008B0A70">
              <w:t>lb</w:t>
            </w:r>
            <w:proofErr w:type="spellEnd"/>
            <w:r w:rsidRPr="008B0A70">
              <w:t>/ft</w:t>
            </w:r>
            <w:r w:rsidRPr="008B0A70">
              <w:rPr>
                <w:vertAlign w:val="superscript"/>
              </w:rPr>
              <w:t>3</w:t>
            </w:r>
            <w:r w:rsidRPr="008B0A70">
              <w:t>)</w:t>
            </w:r>
          </w:p>
        </w:tc>
      </w:tr>
      <w:tr w:rsidR="00ED005C" w:rsidRPr="00ED005C" w14:paraId="416CEED2" w14:textId="77777777">
        <w:trPr>
          <w:cantSplit/>
          <w:trHeight w:val="432"/>
          <w:jc w:val="center"/>
        </w:trPr>
        <w:tc>
          <w:tcPr>
            <w:tcW w:w="2517" w:type="dxa"/>
            <w:vAlign w:val="center"/>
            <w:hideMark/>
          </w:tcPr>
          <w:p w14:paraId="31C675AD" w14:textId="77777777" w:rsidR="004259F7" w:rsidRPr="008B0A70" w:rsidRDefault="004259F7">
            <w:pPr>
              <w:jc w:val="center"/>
            </w:pPr>
            <w:r w:rsidRPr="008B0A70">
              <w:t>Fluidity</w:t>
            </w:r>
          </w:p>
        </w:tc>
        <w:tc>
          <w:tcPr>
            <w:tcW w:w="2160" w:type="dxa"/>
            <w:vAlign w:val="center"/>
            <w:hideMark/>
          </w:tcPr>
          <w:p w14:paraId="259D3D93" w14:textId="77777777" w:rsidR="004259F7" w:rsidRPr="008B0A70" w:rsidRDefault="004259F7">
            <w:pPr>
              <w:jc w:val="center"/>
            </w:pPr>
            <w:r w:rsidRPr="008B0A70">
              <w:t>ASTM C939</w:t>
            </w:r>
          </w:p>
        </w:tc>
        <w:tc>
          <w:tcPr>
            <w:tcW w:w="3420" w:type="dxa"/>
            <w:vAlign w:val="center"/>
          </w:tcPr>
          <w:p w14:paraId="1C4FEE12" w14:textId="77777777" w:rsidR="004259F7" w:rsidRPr="008B0A70" w:rsidRDefault="004259F7">
            <w:pPr>
              <w:jc w:val="center"/>
            </w:pPr>
            <w:r w:rsidRPr="008B0A70">
              <w:t>Can vary between 35 and 60 seconds</w:t>
            </w:r>
          </w:p>
        </w:tc>
      </w:tr>
      <w:tr w:rsidR="00ED005C" w:rsidRPr="00ED005C" w14:paraId="38ECB3A8" w14:textId="77777777">
        <w:trPr>
          <w:cantSplit/>
          <w:trHeight w:val="432"/>
          <w:jc w:val="center"/>
        </w:trPr>
        <w:tc>
          <w:tcPr>
            <w:tcW w:w="2517" w:type="dxa"/>
            <w:vAlign w:val="center"/>
            <w:hideMark/>
          </w:tcPr>
          <w:p w14:paraId="0B12D6AB" w14:textId="77777777" w:rsidR="004259F7" w:rsidRPr="008B0A70" w:rsidRDefault="004259F7">
            <w:pPr>
              <w:jc w:val="center"/>
            </w:pPr>
            <w:r w:rsidRPr="008B0A70">
              <w:t>Flowability/Spread</w:t>
            </w:r>
          </w:p>
        </w:tc>
        <w:tc>
          <w:tcPr>
            <w:tcW w:w="2160" w:type="dxa"/>
            <w:vAlign w:val="center"/>
            <w:hideMark/>
          </w:tcPr>
          <w:p w14:paraId="6CC21292" w14:textId="77777777" w:rsidR="004259F7" w:rsidRPr="008B0A70" w:rsidRDefault="004259F7">
            <w:pPr>
              <w:jc w:val="center"/>
            </w:pPr>
            <w:r w:rsidRPr="008B0A70">
              <w:t>ASTM D6103</w:t>
            </w:r>
          </w:p>
        </w:tc>
        <w:tc>
          <w:tcPr>
            <w:tcW w:w="3420" w:type="dxa"/>
            <w:vAlign w:val="center"/>
          </w:tcPr>
          <w:p w14:paraId="6C4F4A92" w14:textId="77777777" w:rsidR="004259F7" w:rsidRPr="008B0A70" w:rsidRDefault="004259F7">
            <w:pPr>
              <w:jc w:val="center"/>
            </w:pPr>
            <w:r w:rsidRPr="008B0A70">
              <w:t>Minimum 10 in.</w:t>
            </w:r>
          </w:p>
        </w:tc>
      </w:tr>
      <w:tr w:rsidR="00ED005C" w:rsidRPr="00ED005C" w14:paraId="5390B982" w14:textId="77777777">
        <w:trPr>
          <w:cantSplit/>
          <w:trHeight w:val="432"/>
          <w:jc w:val="center"/>
        </w:trPr>
        <w:tc>
          <w:tcPr>
            <w:tcW w:w="2517" w:type="dxa"/>
            <w:vAlign w:val="center"/>
            <w:hideMark/>
          </w:tcPr>
          <w:p w14:paraId="6BB50E2B" w14:textId="77777777" w:rsidR="004259F7" w:rsidRPr="008B0A70" w:rsidRDefault="004259F7">
            <w:pPr>
              <w:jc w:val="center"/>
            </w:pPr>
            <w:r w:rsidRPr="008B0A70">
              <w:t>Air Content</w:t>
            </w:r>
          </w:p>
        </w:tc>
        <w:tc>
          <w:tcPr>
            <w:tcW w:w="2160" w:type="dxa"/>
            <w:vAlign w:val="center"/>
            <w:hideMark/>
          </w:tcPr>
          <w:p w14:paraId="1BED752B" w14:textId="77777777" w:rsidR="004259F7" w:rsidRPr="008B0A70" w:rsidRDefault="004259F7">
            <w:pPr>
              <w:jc w:val="center"/>
            </w:pPr>
            <w:r w:rsidRPr="008B0A70">
              <w:t>ASTM C138</w:t>
            </w:r>
          </w:p>
        </w:tc>
        <w:tc>
          <w:tcPr>
            <w:tcW w:w="3420" w:type="dxa"/>
            <w:vAlign w:val="center"/>
          </w:tcPr>
          <w:p w14:paraId="7FB4BBAC" w14:textId="77777777" w:rsidR="004259F7" w:rsidRPr="008B0A70" w:rsidRDefault="004259F7">
            <w:pPr>
              <w:jc w:val="center"/>
            </w:pPr>
            <w:r w:rsidRPr="008B0A70">
              <w:t>50% to 70 %</w:t>
            </w:r>
          </w:p>
        </w:tc>
      </w:tr>
      <w:tr w:rsidR="00ED005C" w:rsidRPr="00ED005C" w14:paraId="793BBB59" w14:textId="77777777">
        <w:trPr>
          <w:cantSplit/>
          <w:trHeight w:val="432"/>
          <w:jc w:val="center"/>
        </w:trPr>
        <w:tc>
          <w:tcPr>
            <w:tcW w:w="2517" w:type="dxa"/>
            <w:vAlign w:val="center"/>
          </w:tcPr>
          <w:p w14:paraId="72298C29" w14:textId="77777777" w:rsidR="004259F7" w:rsidRPr="008B0A70" w:rsidRDefault="004259F7">
            <w:pPr>
              <w:jc w:val="center"/>
            </w:pPr>
            <w:r w:rsidRPr="008B0A70">
              <w:t>Temperature</w:t>
            </w:r>
          </w:p>
        </w:tc>
        <w:tc>
          <w:tcPr>
            <w:tcW w:w="2160" w:type="dxa"/>
            <w:vAlign w:val="center"/>
          </w:tcPr>
          <w:p w14:paraId="3EF2FC3A" w14:textId="77777777" w:rsidR="004259F7" w:rsidRPr="008B0A70" w:rsidRDefault="004259F7">
            <w:pPr>
              <w:jc w:val="center"/>
            </w:pPr>
            <w:r w:rsidRPr="008B0A70">
              <w:t>ASTM C1064</w:t>
            </w:r>
          </w:p>
        </w:tc>
        <w:tc>
          <w:tcPr>
            <w:tcW w:w="3420" w:type="dxa"/>
            <w:vAlign w:val="center"/>
          </w:tcPr>
          <w:p w14:paraId="0AC31650" w14:textId="77777777" w:rsidR="004259F7" w:rsidRPr="008B0A70" w:rsidRDefault="004259F7">
            <w:pPr>
              <w:jc w:val="center"/>
            </w:pPr>
            <w:r w:rsidRPr="008B0A70">
              <w:t xml:space="preserve">50 to 75 </w:t>
            </w:r>
            <w:proofErr w:type="spellStart"/>
            <w:r w:rsidRPr="008B0A70">
              <w:rPr>
                <w:vertAlign w:val="superscript"/>
              </w:rPr>
              <w:t>o</w:t>
            </w:r>
            <w:r w:rsidRPr="008B0A70">
              <w:t>F</w:t>
            </w:r>
            <w:proofErr w:type="spellEnd"/>
          </w:p>
        </w:tc>
      </w:tr>
      <w:tr w:rsidR="00ED005C" w:rsidRPr="00ED005C" w14:paraId="222D997B" w14:textId="77777777">
        <w:trPr>
          <w:cantSplit/>
          <w:trHeight w:val="432"/>
          <w:jc w:val="center"/>
        </w:trPr>
        <w:tc>
          <w:tcPr>
            <w:tcW w:w="2517" w:type="dxa"/>
            <w:vAlign w:val="center"/>
            <w:hideMark/>
          </w:tcPr>
          <w:p w14:paraId="038F3FB2" w14:textId="77777777" w:rsidR="004259F7" w:rsidRPr="008B0A70" w:rsidRDefault="004259F7">
            <w:pPr>
              <w:jc w:val="center"/>
            </w:pPr>
            <w:r w:rsidRPr="008B0A70">
              <w:t>Stability Test</w:t>
            </w:r>
          </w:p>
        </w:tc>
        <w:tc>
          <w:tcPr>
            <w:tcW w:w="2160" w:type="dxa"/>
            <w:vAlign w:val="center"/>
            <w:hideMark/>
          </w:tcPr>
          <w:p w14:paraId="298B349B" w14:textId="77777777" w:rsidR="004259F7" w:rsidRPr="008B0A70" w:rsidRDefault="004259F7">
            <w:pPr>
              <w:jc w:val="center"/>
            </w:pPr>
            <w:r w:rsidRPr="008B0A70">
              <w:t>ASTM C940</w:t>
            </w:r>
          </w:p>
        </w:tc>
        <w:tc>
          <w:tcPr>
            <w:tcW w:w="3420" w:type="dxa"/>
            <w:vAlign w:val="center"/>
          </w:tcPr>
          <w:p w14:paraId="5C6DE6D6" w14:textId="77777777" w:rsidR="004259F7" w:rsidRPr="008B0A70" w:rsidRDefault="004259F7">
            <w:pPr>
              <w:jc w:val="center"/>
            </w:pPr>
            <w:r w:rsidRPr="008B0A70">
              <w:t>No Collapse (0 in. height change)</w:t>
            </w:r>
          </w:p>
        </w:tc>
      </w:tr>
    </w:tbl>
    <w:p w14:paraId="63A665A7" w14:textId="77777777" w:rsidR="004259F7" w:rsidRPr="008B0A70" w:rsidRDefault="004259F7" w:rsidP="004259F7">
      <w:pPr>
        <w:rPr>
          <w:b/>
          <w:bCs/>
        </w:rPr>
      </w:pPr>
    </w:p>
    <w:p w14:paraId="0196994E" w14:textId="77B04722" w:rsidR="004259F7" w:rsidRPr="008B0A70" w:rsidRDefault="003853D1" w:rsidP="008B0A70">
      <w:pPr>
        <w:ind w:left="90"/>
        <w:jc w:val="both"/>
      </w:pPr>
      <w:r w:rsidRPr="008B0A70">
        <w:t>M.</w:t>
      </w:r>
      <w:r w:rsidR="00822FC1">
        <w:t xml:space="preserve"> </w:t>
      </w:r>
      <w:r w:rsidR="004259F7" w:rsidRPr="008B0A70">
        <w:t>Alternate Grout Mix</w:t>
      </w:r>
      <w:r w:rsidR="00296D8D" w:rsidRPr="008B0A70">
        <w:t>:</w:t>
      </w:r>
      <w:r w:rsidR="004259F7" w:rsidRPr="008B0A70">
        <w:t xml:space="preserve"> Submit mix design and material test results meeting the limits for Grout Properties shown in Table 837.03-5 to the Engineer. Meet pre-pumping test requirements as shown in Table 837.03-2 for Alternate CLSM and Table 837.03-4 for Alternate Cellular Grout.</w:t>
      </w:r>
    </w:p>
    <w:p w14:paraId="0983EC74" w14:textId="77777777" w:rsidR="004259F7" w:rsidRPr="008B0A70" w:rsidRDefault="004259F7" w:rsidP="004259F7">
      <w:pPr>
        <w:jc w:val="both"/>
      </w:pPr>
    </w:p>
    <w:p w14:paraId="2512CA94" w14:textId="77777777" w:rsidR="004259F7" w:rsidRPr="008B0A70" w:rsidRDefault="004259F7" w:rsidP="004259F7">
      <w:pPr>
        <w:pStyle w:val="Title"/>
        <w:spacing w:after="40"/>
        <w:rPr>
          <w:rFonts w:ascii="Times New Roman" w:eastAsia="Times New Roman" w:hAnsi="Times New Roman"/>
          <w:b/>
          <w:bCs/>
          <w:szCs w:val="22"/>
        </w:rPr>
      </w:pPr>
      <w:r w:rsidRPr="008B0A70">
        <w:rPr>
          <w:rFonts w:ascii="Times New Roman" w:eastAsia="Times New Roman" w:hAnsi="Times New Roman"/>
          <w:b/>
          <w:bCs/>
          <w:szCs w:val="22"/>
        </w:rPr>
        <w:t>TABLE 837.03-5</w:t>
      </w:r>
    </w:p>
    <w:tbl>
      <w:tblPr>
        <w:tblW w:w="80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17"/>
        <w:gridCol w:w="2160"/>
        <w:gridCol w:w="3420"/>
      </w:tblGrid>
      <w:tr w:rsidR="00ED005C" w:rsidRPr="00ED005C" w14:paraId="551D225B" w14:textId="77777777">
        <w:trPr>
          <w:trHeight w:val="432"/>
          <w:jc w:val="center"/>
        </w:trPr>
        <w:tc>
          <w:tcPr>
            <w:tcW w:w="8097" w:type="dxa"/>
            <w:gridSpan w:val="3"/>
            <w:shd w:val="clear" w:color="auto" w:fill="FFFFFF"/>
            <w:vAlign w:val="center"/>
          </w:tcPr>
          <w:p w14:paraId="5CF243BA" w14:textId="77777777" w:rsidR="004259F7" w:rsidRPr="008B0A70" w:rsidRDefault="004259F7">
            <w:pPr>
              <w:jc w:val="center"/>
              <w:rPr>
                <w:b/>
                <w:bCs/>
              </w:rPr>
            </w:pPr>
            <w:r w:rsidRPr="008B0A70">
              <w:rPr>
                <w:b/>
                <w:bCs/>
              </w:rPr>
              <w:t>Grout Properties</w:t>
            </w:r>
          </w:p>
        </w:tc>
      </w:tr>
      <w:tr w:rsidR="00ED005C" w:rsidRPr="00ED005C" w14:paraId="5D689865" w14:textId="77777777">
        <w:trPr>
          <w:trHeight w:val="432"/>
          <w:jc w:val="center"/>
        </w:trPr>
        <w:tc>
          <w:tcPr>
            <w:tcW w:w="2517" w:type="dxa"/>
            <w:shd w:val="clear" w:color="auto" w:fill="FFFFFF"/>
            <w:vAlign w:val="center"/>
            <w:hideMark/>
          </w:tcPr>
          <w:p w14:paraId="59BBCEE1" w14:textId="77777777" w:rsidR="004259F7" w:rsidRPr="008B0A70" w:rsidRDefault="004259F7">
            <w:pPr>
              <w:jc w:val="center"/>
              <w:rPr>
                <w:b/>
                <w:bCs/>
              </w:rPr>
            </w:pPr>
            <w:r w:rsidRPr="008B0A70">
              <w:rPr>
                <w:b/>
                <w:bCs/>
              </w:rPr>
              <w:t>Test</w:t>
            </w:r>
          </w:p>
        </w:tc>
        <w:tc>
          <w:tcPr>
            <w:tcW w:w="2160" w:type="dxa"/>
            <w:shd w:val="clear" w:color="auto" w:fill="FFFFFF"/>
            <w:vAlign w:val="center"/>
            <w:hideMark/>
          </w:tcPr>
          <w:p w14:paraId="14FC7511" w14:textId="77777777" w:rsidR="004259F7" w:rsidRPr="008B0A70" w:rsidRDefault="004259F7">
            <w:pPr>
              <w:jc w:val="center"/>
              <w:rPr>
                <w:b/>
                <w:bCs/>
              </w:rPr>
            </w:pPr>
            <w:r w:rsidRPr="008B0A70">
              <w:rPr>
                <w:b/>
                <w:bCs/>
              </w:rPr>
              <w:t>ASTM Reference</w:t>
            </w:r>
          </w:p>
        </w:tc>
        <w:tc>
          <w:tcPr>
            <w:tcW w:w="3420" w:type="dxa"/>
            <w:shd w:val="clear" w:color="auto" w:fill="FFFFFF"/>
            <w:vAlign w:val="center"/>
          </w:tcPr>
          <w:p w14:paraId="3423D329" w14:textId="77777777" w:rsidR="004259F7" w:rsidRPr="008B0A70" w:rsidRDefault="004259F7">
            <w:pPr>
              <w:jc w:val="center"/>
              <w:rPr>
                <w:b/>
                <w:bCs/>
              </w:rPr>
            </w:pPr>
            <w:r w:rsidRPr="008B0A70">
              <w:rPr>
                <w:b/>
                <w:bCs/>
              </w:rPr>
              <w:t>Limits</w:t>
            </w:r>
          </w:p>
        </w:tc>
      </w:tr>
      <w:tr w:rsidR="00ED005C" w:rsidRPr="00ED005C" w14:paraId="171C8181" w14:textId="77777777">
        <w:trPr>
          <w:cantSplit/>
          <w:trHeight w:val="432"/>
          <w:jc w:val="center"/>
        </w:trPr>
        <w:tc>
          <w:tcPr>
            <w:tcW w:w="2517" w:type="dxa"/>
            <w:vAlign w:val="center"/>
            <w:hideMark/>
          </w:tcPr>
          <w:p w14:paraId="10AB45FE" w14:textId="77777777" w:rsidR="004259F7" w:rsidRPr="008B0A70" w:rsidRDefault="004259F7">
            <w:pPr>
              <w:jc w:val="center"/>
            </w:pPr>
            <w:r w:rsidRPr="008B0A70">
              <w:t>Bleeding Test (CLSM)</w:t>
            </w:r>
          </w:p>
        </w:tc>
        <w:tc>
          <w:tcPr>
            <w:tcW w:w="2160" w:type="dxa"/>
            <w:vAlign w:val="center"/>
            <w:hideMark/>
          </w:tcPr>
          <w:p w14:paraId="15A8D8F3" w14:textId="77777777" w:rsidR="004259F7" w:rsidRPr="008B0A70" w:rsidRDefault="004259F7">
            <w:pPr>
              <w:jc w:val="center"/>
            </w:pPr>
            <w:r w:rsidRPr="008B0A70">
              <w:t>ASTM C940</w:t>
            </w:r>
          </w:p>
        </w:tc>
        <w:tc>
          <w:tcPr>
            <w:tcW w:w="3420" w:type="dxa"/>
            <w:vAlign w:val="center"/>
          </w:tcPr>
          <w:p w14:paraId="0997942F" w14:textId="77777777" w:rsidR="004259F7" w:rsidRPr="008B0A70" w:rsidRDefault="004259F7">
            <w:pPr>
              <w:jc w:val="center"/>
            </w:pPr>
            <w:r w:rsidRPr="008B0A70">
              <w:t>No Bleeding (0 ml)</w:t>
            </w:r>
          </w:p>
        </w:tc>
      </w:tr>
      <w:tr w:rsidR="00ED005C" w:rsidRPr="00ED005C" w14:paraId="6A75D7A5" w14:textId="77777777">
        <w:trPr>
          <w:cantSplit/>
          <w:trHeight w:val="432"/>
          <w:jc w:val="center"/>
        </w:trPr>
        <w:tc>
          <w:tcPr>
            <w:tcW w:w="2517" w:type="dxa"/>
            <w:vAlign w:val="center"/>
            <w:hideMark/>
          </w:tcPr>
          <w:p w14:paraId="3BA0EEB5" w14:textId="77777777" w:rsidR="004259F7" w:rsidRPr="008B0A70" w:rsidRDefault="004259F7">
            <w:pPr>
              <w:jc w:val="center"/>
            </w:pPr>
            <w:r w:rsidRPr="008B0A70">
              <w:t>Compressive Strength</w:t>
            </w:r>
          </w:p>
        </w:tc>
        <w:tc>
          <w:tcPr>
            <w:tcW w:w="2160" w:type="dxa"/>
            <w:vAlign w:val="center"/>
            <w:hideMark/>
          </w:tcPr>
          <w:p w14:paraId="27F25C1D" w14:textId="77777777" w:rsidR="004259F7" w:rsidRPr="008B0A70" w:rsidRDefault="004259F7">
            <w:pPr>
              <w:jc w:val="center"/>
            </w:pPr>
            <w:r w:rsidRPr="008B0A70">
              <w:t>ASTM D4832</w:t>
            </w:r>
          </w:p>
        </w:tc>
        <w:tc>
          <w:tcPr>
            <w:tcW w:w="3420" w:type="dxa"/>
            <w:vAlign w:val="center"/>
          </w:tcPr>
          <w:p w14:paraId="17C48D85" w14:textId="77777777" w:rsidR="004259F7" w:rsidRPr="008B0A70" w:rsidRDefault="004259F7">
            <w:pPr>
              <w:jc w:val="center"/>
            </w:pPr>
            <w:r w:rsidRPr="008B0A70">
              <w:t>Minimum 200 psi</w:t>
            </w:r>
          </w:p>
        </w:tc>
      </w:tr>
      <w:tr w:rsidR="00ED005C" w:rsidRPr="00ED005C" w14:paraId="261045EF" w14:textId="77777777">
        <w:trPr>
          <w:cantSplit/>
          <w:trHeight w:val="432"/>
          <w:jc w:val="center"/>
        </w:trPr>
        <w:tc>
          <w:tcPr>
            <w:tcW w:w="2517" w:type="dxa"/>
            <w:vAlign w:val="center"/>
          </w:tcPr>
          <w:p w14:paraId="45DEB4D9" w14:textId="77777777" w:rsidR="004259F7" w:rsidRPr="008B0A70" w:rsidRDefault="004259F7">
            <w:pPr>
              <w:jc w:val="center"/>
            </w:pPr>
            <w:r w:rsidRPr="008B0A70">
              <w:t>Split Tensile Strength</w:t>
            </w:r>
          </w:p>
        </w:tc>
        <w:tc>
          <w:tcPr>
            <w:tcW w:w="2160" w:type="dxa"/>
            <w:vAlign w:val="center"/>
          </w:tcPr>
          <w:p w14:paraId="0BCCD5DB" w14:textId="77777777" w:rsidR="004259F7" w:rsidRPr="008B0A70" w:rsidRDefault="004259F7">
            <w:pPr>
              <w:jc w:val="center"/>
            </w:pPr>
            <w:r w:rsidRPr="008B0A70">
              <w:t>ASTM C496</w:t>
            </w:r>
          </w:p>
        </w:tc>
        <w:tc>
          <w:tcPr>
            <w:tcW w:w="3420" w:type="dxa"/>
            <w:vAlign w:val="center"/>
          </w:tcPr>
          <w:p w14:paraId="4C34F10C" w14:textId="77777777" w:rsidR="004259F7" w:rsidRPr="008B0A70" w:rsidRDefault="004259F7">
            <w:pPr>
              <w:jc w:val="center"/>
            </w:pPr>
            <w:r w:rsidRPr="008B0A70">
              <w:t>Minimum 25 psi</w:t>
            </w:r>
          </w:p>
        </w:tc>
      </w:tr>
      <w:tr w:rsidR="00ED005C" w:rsidRPr="00ED005C" w14:paraId="7919F295" w14:textId="77777777">
        <w:trPr>
          <w:cantSplit/>
          <w:trHeight w:val="432"/>
          <w:jc w:val="center"/>
        </w:trPr>
        <w:tc>
          <w:tcPr>
            <w:tcW w:w="2517" w:type="dxa"/>
            <w:vAlign w:val="center"/>
            <w:hideMark/>
          </w:tcPr>
          <w:p w14:paraId="59579CDE" w14:textId="77777777" w:rsidR="004259F7" w:rsidRPr="008B0A70" w:rsidRDefault="004259F7">
            <w:pPr>
              <w:jc w:val="center"/>
            </w:pPr>
            <w:r w:rsidRPr="008B0A70">
              <w:t>Water Absorption</w:t>
            </w:r>
          </w:p>
        </w:tc>
        <w:tc>
          <w:tcPr>
            <w:tcW w:w="2160" w:type="dxa"/>
            <w:vAlign w:val="center"/>
            <w:hideMark/>
          </w:tcPr>
          <w:p w14:paraId="1129CF96" w14:textId="77777777" w:rsidR="004259F7" w:rsidRPr="008B0A70" w:rsidRDefault="004259F7">
            <w:pPr>
              <w:jc w:val="center"/>
            </w:pPr>
            <w:r w:rsidRPr="008B0A70">
              <w:t>ASTM C796</w:t>
            </w:r>
          </w:p>
        </w:tc>
        <w:tc>
          <w:tcPr>
            <w:tcW w:w="3420" w:type="dxa"/>
            <w:vAlign w:val="center"/>
          </w:tcPr>
          <w:p w14:paraId="0C0D664B" w14:textId="77777777" w:rsidR="004259F7" w:rsidRPr="008B0A70" w:rsidRDefault="004259F7">
            <w:pPr>
              <w:jc w:val="center"/>
            </w:pPr>
            <w:r w:rsidRPr="008B0A70">
              <w:t>Maximum 25% by Volume</w:t>
            </w:r>
          </w:p>
        </w:tc>
      </w:tr>
      <w:tr w:rsidR="00ED005C" w:rsidRPr="00ED005C" w14:paraId="4DE448E7" w14:textId="77777777">
        <w:trPr>
          <w:cantSplit/>
          <w:trHeight w:val="432"/>
          <w:jc w:val="center"/>
        </w:trPr>
        <w:tc>
          <w:tcPr>
            <w:tcW w:w="2517" w:type="dxa"/>
            <w:vAlign w:val="center"/>
          </w:tcPr>
          <w:p w14:paraId="737C25D4" w14:textId="77777777" w:rsidR="004259F7" w:rsidRPr="008B0A70" w:rsidRDefault="004259F7">
            <w:pPr>
              <w:jc w:val="center"/>
            </w:pPr>
            <w:r w:rsidRPr="008B0A70">
              <w:lastRenderedPageBreak/>
              <w:t>Oven Dry Density</w:t>
            </w:r>
          </w:p>
        </w:tc>
        <w:tc>
          <w:tcPr>
            <w:tcW w:w="2160" w:type="dxa"/>
            <w:vAlign w:val="center"/>
          </w:tcPr>
          <w:p w14:paraId="7CC41ED6" w14:textId="77777777" w:rsidR="004259F7" w:rsidRPr="008B0A70" w:rsidRDefault="004259F7">
            <w:pPr>
              <w:jc w:val="center"/>
            </w:pPr>
            <w:r w:rsidRPr="008B0A70">
              <w:t>ASTM C495</w:t>
            </w:r>
          </w:p>
        </w:tc>
        <w:tc>
          <w:tcPr>
            <w:tcW w:w="3420" w:type="dxa"/>
            <w:vAlign w:val="center"/>
          </w:tcPr>
          <w:p w14:paraId="0ADFFC72" w14:textId="77777777" w:rsidR="004259F7" w:rsidRPr="008B0A70" w:rsidRDefault="004259F7">
            <w:pPr>
              <w:jc w:val="center"/>
            </w:pPr>
            <w:r w:rsidRPr="008B0A70">
              <w:t>90 ± 4 (</w:t>
            </w:r>
            <w:proofErr w:type="spellStart"/>
            <w:r w:rsidRPr="008B0A70">
              <w:t>lb</w:t>
            </w:r>
            <w:proofErr w:type="spellEnd"/>
            <w:r w:rsidRPr="008B0A70">
              <w:t>/ft</w:t>
            </w:r>
            <w:r w:rsidRPr="008B0A70">
              <w:rPr>
                <w:vertAlign w:val="superscript"/>
              </w:rPr>
              <w:t>3</w:t>
            </w:r>
            <w:r w:rsidRPr="008B0A70">
              <w:t>)</w:t>
            </w:r>
          </w:p>
        </w:tc>
      </w:tr>
    </w:tbl>
    <w:p w14:paraId="1AE8CC85" w14:textId="77777777" w:rsidR="004259F7" w:rsidRPr="00536847" w:rsidRDefault="004259F7" w:rsidP="00C21698">
      <w:pPr>
        <w:pStyle w:val="1Indent1Paragraph"/>
      </w:pPr>
    </w:p>
    <w:p w14:paraId="41877E25" w14:textId="34405121" w:rsidR="00E572CC" w:rsidRPr="00536847" w:rsidRDefault="00E572CC" w:rsidP="000F0305">
      <w:pPr>
        <w:pStyle w:val="SubsectionParagraph"/>
      </w:pPr>
      <w:bookmarkStart w:id="14" w:name="_Toc254089033"/>
      <w:bookmarkStart w:id="15" w:name="_Toc254089094"/>
      <w:bookmarkStart w:id="16" w:name="_Toc254089098"/>
      <w:bookmarkStart w:id="17" w:name="_Toc254089241"/>
      <w:bookmarkStart w:id="18" w:name="_Toc254089344"/>
      <w:bookmarkStart w:id="19" w:name="_Toc254089409"/>
      <w:bookmarkStart w:id="20" w:name="_Toc254097141"/>
      <w:r w:rsidRPr="00536847">
        <w:rPr>
          <w:rStyle w:val="SubsectionTitleChar"/>
        </w:rPr>
        <w:t>837.03</w:t>
      </w:r>
      <w:r w:rsidRPr="00536847">
        <w:rPr>
          <w:rStyle w:val="SubsectionTitleChar"/>
        </w:rPr>
        <w:tab/>
      </w:r>
      <w:bookmarkEnd w:id="14"/>
      <w:bookmarkEnd w:id="15"/>
      <w:bookmarkEnd w:id="16"/>
      <w:bookmarkEnd w:id="17"/>
      <w:bookmarkEnd w:id="18"/>
      <w:bookmarkEnd w:id="19"/>
      <w:bookmarkEnd w:id="20"/>
      <w:r w:rsidR="0082056F">
        <w:rPr>
          <w:rStyle w:val="SubsectionTitleChar"/>
        </w:rPr>
        <w:t>Construction</w:t>
      </w:r>
      <w:r w:rsidRPr="00536847">
        <w:t>.</w:t>
      </w:r>
      <w:r w:rsidR="00822FC1">
        <w:t xml:space="preserve"> </w:t>
      </w:r>
      <w:r w:rsidR="001C04AE" w:rsidRPr="00536847">
        <w:t>Install t</w:t>
      </w:r>
      <w:r w:rsidRPr="00536847">
        <w:t>he liner pipe and fittings</w:t>
      </w:r>
      <w:r w:rsidR="001C04AE" w:rsidRPr="00536847">
        <w:t xml:space="preserve"> </w:t>
      </w:r>
      <w:r w:rsidR="00323BF6" w:rsidRPr="00536847">
        <w:t>according to</w:t>
      </w:r>
      <w:r w:rsidRPr="00536847">
        <w:t xml:space="preserve"> the manufacturer’s recommendations with the following addition</w:t>
      </w:r>
      <w:r w:rsidR="00323BF6" w:rsidRPr="00536847">
        <w:t>al requirement</w:t>
      </w:r>
      <w:r w:rsidRPr="00536847">
        <w:t>s:</w:t>
      </w:r>
    </w:p>
    <w:p w14:paraId="665BA247" w14:textId="035D2DDC" w:rsidR="00D12606" w:rsidRDefault="004F4507" w:rsidP="004F450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jc w:val="both"/>
      </w:pPr>
      <w:r w:rsidRPr="00536847">
        <w:t>A.</w:t>
      </w:r>
      <w:r w:rsidRPr="00536847">
        <w:tab/>
        <w:t xml:space="preserve">Provide an Installation Plan to the Engineer </w:t>
      </w:r>
      <w:r w:rsidR="008E22BF" w:rsidRPr="00536847">
        <w:t>at least 15</w:t>
      </w:r>
      <w:r w:rsidRPr="00536847">
        <w:t xml:space="preserve"> days prior to liner pipe installation detailing the liner pipe and grouting installation procedures</w:t>
      </w:r>
      <w:r w:rsidR="00D12606">
        <w:t xml:space="preserve"> and include the following information at a minimum:</w:t>
      </w:r>
      <w:r w:rsidR="00822FC1">
        <w:t xml:space="preserve"> </w:t>
      </w:r>
    </w:p>
    <w:p w14:paraId="1682B391" w14:textId="42C176E0" w:rsidR="00D12606" w:rsidRPr="008B0A70" w:rsidRDefault="00F36AC4" w:rsidP="00D12606">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rPr>
          <w:sz w:val="24"/>
          <w:szCs w:val="24"/>
        </w:rPr>
      </w:pPr>
      <w:r w:rsidRPr="008B0A70">
        <w:rPr>
          <w:sz w:val="24"/>
          <w:szCs w:val="24"/>
        </w:rPr>
        <w:t>Identify the type of void grout to be used to fill the annular void space.</w:t>
      </w:r>
      <w:r w:rsidR="00822FC1">
        <w:rPr>
          <w:sz w:val="24"/>
          <w:szCs w:val="24"/>
        </w:rPr>
        <w:t xml:space="preserve"> </w:t>
      </w:r>
      <w:r w:rsidR="003948D4">
        <w:rPr>
          <w:sz w:val="24"/>
          <w:szCs w:val="24"/>
        </w:rPr>
        <w:t xml:space="preserve">Provide certified test data for the </w:t>
      </w:r>
      <w:r w:rsidR="00254945">
        <w:rPr>
          <w:sz w:val="24"/>
          <w:szCs w:val="24"/>
        </w:rPr>
        <w:t xml:space="preserve">selected </w:t>
      </w:r>
      <w:r w:rsidR="003948D4">
        <w:rPr>
          <w:sz w:val="24"/>
          <w:szCs w:val="24"/>
        </w:rPr>
        <w:t>grout mix.</w:t>
      </w:r>
    </w:p>
    <w:p w14:paraId="70C3E064" w14:textId="7494F486" w:rsidR="00D12606" w:rsidRPr="00D1262C" w:rsidRDefault="00EF2935" w:rsidP="003948D4">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rPr>
          <w:sz w:val="24"/>
          <w:szCs w:val="24"/>
        </w:rPr>
      </w:pPr>
      <w:r w:rsidRPr="002D6B59">
        <w:rPr>
          <w:sz w:val="24"/>
          <w:szCs w:val="24"/>
        </w:rPr>
        <w:t>Include the method and equipment to be used to mix the annular void grout.</w:t>
      </w:r>
      <w:r w:rsidR="00822FC1" w:rsidRPr="002D6B59">
        <w:rPr>
          <w:sz w:val="24"/>
          <w:szCs w:val="24"/>
        </w:rPr>
        <w:t xml:space="preserve"> </w:t>
      </w:r>
      <w:r w:rsidR="00BC73C6" w:rsidRPr="002D6B59">
        <w:rPr>
          <w:sz w:val="24"/>
          <w:szCs w:val="24"/>
        </w:rPr>
        <w:t xml:space="preserve">Provide mixing methods and equipment </w:t>
      </w:r>
      <w:r w:rsidR="00D1262C">
        <w:rPr>
          <w:sz w:val="24"/>
          <w:szCs w:val="24"/>
        </w:rPr>
        <w:t>according to</w:t>
      </w:r>
      <w:r w:rsidR="00BC73C6" w:rsidRPr="002D6B59">
        <w:rPr>
          <w:sz w:val="24"/>
          <w:szCs w:val="24"/>
        </w:rPr>
        <w:t xml:space="preserve"> the manufacturer’s recommendations to ensure uniform grout mix properties as listed above. </w:t>
      </w:r>
    </w:p>
    <w:p w14:paraId="3B02B6B3" w14:textId="0E557855" w:rsidR="00D12606" w:rsidRPr="008B0A70" w:rsidRDefault="00EF2935" w:rsidP="00D12606">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rPr>
          <w:sz w:val="24"/>
          <w:szCs w:val="24"/>
        </w:rPr>
      </w:pPr>
      <w:r w:rsidRPr="008B0A70">
        <w:rPr>
          <w:sz w:val="24"/>
          <w:szCs w:val="24"/>
        </w:rPr>
        <w:t xml:space="preserve">Include </w:t>
      </w:r>
      <w:r w:rsidR="00F36AC4" w:rsidRPr="008B0A70">
        <w:rPr>
          <w:sz w:val="24"/>
          <w:szCs w:val="24"/>
        </w:rPr>
        <w:t xml:space="preserve">a description of the bulkhead construction and </w:t>
      </w:r>
      <w:r w:rsidRPr="008B0A70">
        <w:rPr>
          <w:sz w:val="24"/>
          <w:szCs w:val="24"/>
        </w:rPr>
        <w:t>location and elevations of all vent and visual grout return pipes.</w:t>
      </w:r>
      <w:r w:rsidR="00822FC1">
        <w:rPr>
          <w:sz w:val="24"/>
          <w:szCs w:val="24"/>
        </w:rPr>
        <w:t xml:space="preserve"> </w:t>
      </w:r>
      <w:r w:rsidR="00F36AC4" w:rsidRPr="008B0A70">
        <w:rPr>
          <w:sz w:val="24"/>
          <w:szCs w:val="24"/>
        </w:rPr>
        <w:t>Visual grout return pipes will be used to determine the entire annular void space has been filled with the approved grout mix.</w:t>
      </w:r>
    </w:p>
    <w:p w14:paraId="60030D31" w14:textId="77777777" w:rsidR="00D12606" w:rsidRPr="008B0A70" w:rsidRDefault="00D12606" w:rsidP="00D12606">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rPr>
          <w:sz w:val="24"/>
          <w:szCs w:val="24"/>
        </w:rPr>
      </w:pPr>
      <w:r w:rsidRPr="008B0A70">
        <w:rPr>
          <w:sz w:val="24"/>
          <w:szCs w:val="24"/>
        </w:rPr>
        <w:t>Method to ensure the liner pipe maintains the proposed grades and alignment</w:t>
      </w:r>
      <w:r w:rsidR="00F36AC4" w:rsidRPr="008B0A70">
        <w:rPr>
          <w:sz w:val="24"/>
          <w:szCs w:val="24"/>
        </w:rPr>
        <w:t xml:space="preserve"> </w:t>
      </w:r>
      <w:r w:rsidRPr="008B0A70">
        <w:rPr>
          <w:sz w:val="24"/>
          <w:szCs w:val="24"/>
        </w:rPr>
        <w:t>during placement of the annular void space grout.</w:t>
      </w:r>
    </w:p>
    <w:p w14:paraId="618F8355" w14:textId="37812887" w:rsidR="004F4507" w:rsidRPr="00536847" w:rsidRDefault="00D12606" w:rsidP="008B0A70">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pPr>
      <w:r w:rsidRPr="00600AAC">
        <w:rPr>
          <w:sz w:val="24"/>
          <w:szCs w:val="24"/>
        </w:rPr>
        <w:t>Dewatering and water diversion methods. Include details necessary to ensure compliance with all applicable environmental permits.</w:t>
      </w:r>
      <w:r w:rsidR="00822FC1">
        <w:rPr>
          <w:sz w:val="24"/>
          <w:szCs w:val="24"/>
        </w:rPr>
        <w:t xml:space="preserve"> </w:t>
      </w:r>
      <w:r w:rsidR="00822FC1">
        <w:t xml:space="preserve"> </w:t>
      </w:r>
    </w:p>
    <w:p w14:paraId="437D6FB4" w14:textId="14DD2D88" w:rsidR="004F4507" w:rsidRPr="00ED005C" w:rsidRDefault="004F4507" w:rsidP="004F450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jc w:val="both"/>
      </w:pPr>
      <w:r w:rsidRPr="00536847">
        <w:t>B.</w:t>
      </w:r>
      <w:r w:rsidR="00822FC1">
        <w:tab/>
      </w:r>
      <w:r w:rsidRPr="00536847">
        <w:t xml:space="preserve">Remove all debris and obstructions from the existing conduit before inserting the liner pipe. </w:t>
      </w:r>
      <w:r w:rsidR="00F36AC4" w:rsidRPr="00ED005C">
        <w:t xml:space="preserve">Fill all voids outside the existing host </w:t>
      </w:r>
      <w:proofErr w:type="gramStart"/>
      <w:r w:rsidR="00F36AC4" w:rsidRPr="00ED005C">
        <w:t>conduit</w:t>
      </w:r>
      <w:proofErr w:type="gramEnd"/>
      <w:r w:rsidR="00F36AC4" w:rsidRPr="00ED005C">
        <w:t xml:space="preserve"> with </w:t>
      </w:r>
      <w:r w:rsidR="00D56CF5" w:rsidRPr="008B0A70">
        <w:t>CLSM, Cellular Grout, Alternative Grout Mixes</w:t>
      </w:r>
      <w:r w:rsidR="00D56CF5" w:rsidRPr="00ED005C">
        <w:t xml:space="preserve">, or </w:t>
      </w:r>
      <w:r w:rsidR="00D153A4" w:rsidRPr="00ED005C">
        <w:t>Mortar</w:t>
      </w:r>
      <w:r w:rsidRPr="00ED005C">
        <w:t>. Verify with the Engineer that all voids have been appropriately filled.</w:t>
      </w:r>
      <w:r w:rsidR="00822FC1">
        <w:t xml:space="preserve"> </w:t>
      </w:r>
      <w:r w:rsidRPr="00ED005C">
        <w:t>Push or pull the liner pipe into the existing pipe by a method that will not damage the existing drainage structure or the proposed liner pipe.</w:t>
      </w:r>
      <w:r w:rsidR="00822FC1">
        <w:t xml:space="preserve"> </w:t>
      </w:r>
      <w:r w:rsidRPr="00ED005C">
        <w:t xml:space="preserve">Furnish pipe joints that maintain integrity during installation. </w:t>
      </w:r>
      <w:r w:rsidR="007436CB" w:rsidRPr="00ED005C">
        <w:t xml:space="preserve">Furnish </w:t>
      </w:r>
      <w:r w:rsidR="00600AAC" w:rsidRPr="00ED005C">
        <w:t xml:space="preserve">vent </w:t>
      </w:r>
      <w:r w:rsidR="007436CB" w:rsidRPr="00ED005C">
        <w:t>relief ports for releasing trapped air.</w:t>
      </w:r>
      <w:r w:rsidRPr="00ED005C">
        <w:t xml:space="preserve"> Construct bulkheads at the existing conduit ends to contain the backfill material.</w:t>
      </w:r>
      <w:r w:rsidR="00822FC1">
        <w:t xml:space="preserve"> </w:t>
      </w:r>
      <w:r w:rsidR="00600AAC" w:rsidRPr="00ED005C">
        <w:t xml:space="preserve">Construct </w:t>
      </w:r>
      <w:r w:rsidR="001A5C14" w:rsidRPr="00ED005C">
        <w:t xml:space="preserve">bulkheads </w:t>
      </w:r>
      <w:r w:rsidR="00937DC3" w:rsidRPr="00ED005C">
        <w:t xml:space="preserve">to allow </w:t>
      </w:r>
      <w:proofErr w:type="gramStart"/>
      <w:r w:rsidR="001315B9" w:rsidRPr="00ED005C">
        <w:t>grout</w:t>
      </w:r>
      <w:proofErr w:type="gramEnd"/>
      <w:r w:rsidR="001315B9" w:rsidRPr="00ED005C">
        <w:t xml:space="preserve"> return</w:t>
      </w:r>
      <w:r w:rsidR="00937DC3" w:rsidRPr="00ED005C">
        <w:t xml:space="preserve"> ports </w:t>
      </w:r>
      <w:r w:rsidR="00342EA0" w:rsidRPr="00ED005C">
        <w:t xml:space="preserve">as </w:t>
      </w:r>
      <w:r w:rsidR="00937DC3" w:rsidRPr="00ED005C">
        <w:t>identified in the Installation Plan.</w:t>
      </w:r>
      <w:r w:rsidR="00822FC1">
        <w:t xml:space="preserve">  </w:t>
      </w:r>
    </w:p>
    <w:p w14:paraId="14067FBD" w14:textId="7B8AE660" w:rsidR="00EF2935" w:rsidRPr="00ED005C" w:rsidRDefault="004F4507" w:rsidP="00822FC1">
      <w:pPr>
        <w:tabs>
          <w:tab w:val="left" w:pos="450"/>
        </w:tabs>
        <w:spacing w:line="242" w:lineRule="auto"/>
        <w:ind w:right="115"/>
      </w:pPr>
      <w:r w:rsidRPr="00ED005C">
        <w:t>C</w:t>
      </w:r>
      <w:r w:rsidR="00104C9E" w:rsidRPr="00ED005C">
        <w:t>.</w:t>
      </w:r>
      <w:r w:rsidR="00822FC1">
        <w:tab/>
      </w:r>
      <w:r w:rsidR="00F62F1A" w:rsidRPr="00ED005C">
        <w:t>Furnish</w:t>
      </w:r>
      <w:r w:rsidR="000E5A0E" w:rsidRPr="00ED005C">
        <w:t xml:space="preserve"> </w:t>
      </w:r>
      <w:bookmarkStart w:id="21" w:name="_Hlk149650765"/>
      <w:r w:rsidR="000E5A0E" w:rsidRPr="008B0A70">
        <w:t>CLSM</w:t>
      </w:r>
      <w:r w:rsidR="00F035E2" w:rsidRPr="008B0A70">
        <w:t>,</w:t>
      </w:r>
      <w:r w:rsidR="000E5A0E" w:rsidRPr="008B0A70">
        <w:t xml:space="preserve"> </w:t>
      </w:r>
      <w:r w:rsidR="00F035E2" w:rsidRPr="008B0A70">
        <w:t>C</w:t>
      </w:r>
      <w:r w:rsidR="000E5A0E" w:rsidRPr="008B0A70">
        <w:t xml:space="preserve">ellular </w:t>
      </w:r>
      <w:r w:rsidR="00F035E2" w:rsidRPr="008B0A70">
        <w:t>G</w:t>
      </w:r>
      <w:r w:rsidR="000E5A0E" w:rsidRPr="008B0A70">
        <w:t xml:space="preserve">rout, </w:t>
      </w:r>
      <w:r w:rsidR="00F035E2" w:rsidRPr="008B0A70">
        <w:t>or</w:t>
      </w:r>
      <w:r w:rsidR="000E5A0E" w:rsidRPr="008B0A70">
        <w:t xml:space="preserve"> </w:t>
      </w:r>
      <w:r w:rsidR="00F035E2" w:rsidRPr="008B0A70">
        <w:t>A</w:t>
      </w:r>
      <w:r w:rsidR="000E5A0E" w:rsidRPr="008B0A70">
        <w:t xml:space="preserve">lternative </w:t>
      </w:r>
      <w:r w:rsidR="00F035E2" w:rsidRPr="008B0A70">
        <w:t>G</w:t>
      </w:r>
      <w:r w:rsidR="000E5A0E" w:rsidRPr="008B0A70">
        <w:t xml:space="preserve">rout </w:t>
      </w:r>
      <w:r w:rsidR="00F035E2" w:rsidRPr="008B0A70">
        <w:t>M</w:t>
      </w:r>
      <w:r w:rsidR="000E5A0E" w:rsidRPr="008B0A70">
        <w:t>ixes</w:t>
      </w:r>
      <w:bookmarkEnd w:id="21"/>
      <w:r w:rsidR="00822FC1">
        <w:t xml:space="preserve"> </w:t>
      </w:r>
      <w:r w:rsidR="00F62F1A" w:rsidRPr="00ED005C">
        <w:t xml:space="preserve">for </w:t>
      </w:r>
      <w:r w:rsidR="00600AAC" w:rsidRPr="00ED005C">
        <w:t xml:space="preserve">completely </w:t>
      </w:r>
      <w:r w:rsidR="00F62F1A" w:rsidRPr="00ED005C">
        <w:t xml:space="preserve">filling the annular </w:t>
      </w:r>
      <w:r w:rsidR="00600AAC" w:rsidRPr="00ED005C">
        <w:t xml:space="preserve">void </w:t>
      </w:r>
      <w:r w:rsidR="00F62F1A" w:rsidRPr="00ED005C">
        <w:t>space between the existing conduit and liner pipe.</w:t>
      </w:r>
      <w:r w:rsidR="00877357" w:rsidRPr="008B0A70">
        <w:t xml:space="preserve"> Provide Certified Test Data that shows the selected mix meets the requirements of this specification and the type of </w:t>
      </w:r>
      <w:proofErr w:type="gramStart"/>
      <w:r w:rsidR="00877357" w:rsidRPr="008B0A70">
        <w:t>grout</w:t>
      </w:r>
      <w:proofErr w:type="gramEnd"/>
      <w:r w:rsidR="00877357" w:rsidRPr="008B0A70">
        <w:t xml:space="preserve"> selected. </w:t>
      </w:r>
      <w:r w:rsidR="00600AAC" w:rsidRPr="008B0A70">
        <w:t xml:space="preserve">Use the same </w:t>
      </w:r>
      <w:proofErr w:type="gramStart"/>
      <w:r w:rsidR="00600AAC" w:rsidRPr="008B0A70">
        <w:t>grout mix</w:t>
      </w:r>
      <w:proofErr w:type="gramEnd"/>
      <w:r w:rsidR="00600AAC" w:rsidRPr="008B0A70">
        <w:t xml:space="preserve"> for the entire annular void space.</w:t>
      </w:r>
    </w:p>
    <w:p w14:paraId="28BE5F31" w14:textId="77777777" w:rsidR="00EF2935" w:rsidRPr="00ED005C" w:rsidRDefault="00EF2935" w:rsidP="00CC256A">
      <w:pPr>
        <w:tabs>
          <w:tab w:val="left" w:pos="307"/>
        </w:tabs>
        <w:spacing w:line="242" w:lineRule="auto"/>
        <w:ind w:right="115"/>
      </w:pPr>
    </w:p>
    <w:p w14:paraId="4032887A" w14:textId="5744258D" w:rsidR="0023468F" w:rsidRPr="00ED005C" w:rsidRDefault="00EF2935" w:rsidP="008B0A70">
      <w:pPr>
        <w:tabs>
          <w:tab w:val="left" w:pos="307"/>
        </w:tabs>
        <w:spacing w:line="242" w:lineRule="auto"/>
        <w:ind w:right="115"/>
        <w:rPr>
          <w:szCs w:val="22"/>
        </w:rPr>
      </w:pPr>
      <w:r>
        <w:t>D.</w:t>
      </w:r>
      <w:r w:rsidR="00653642">
        <w:t xml:space="preserve"> </w:t>
      </w:r>
      <w:r w:rsidR="00822FC1">
        <w:t xml:space="preserve">  </w:t>
      </w:r>
      <w:r w:rsidR="00135941">
        <w:t>Install (</w:t>
      </w:r>
      <w:r w:rsidR="00164AB5">
        <w:t>2</w:t>
      </w:r>
      <w:r w:rsidR="00135941">
        <w:t xml:space="preserve">) </w:t>
      </w:r>
      <w:r w:rsidR="00600AAC">
        <w:t xml:space="preserve">2-inch diameter grout return </w:t>
      </w:r>
      <w:r w:rsidR="00135941">
        <w:t xml:space="preserve">pipes in both bulkheads at the 9 </w:t>
      </w:r>
      <w:r w:rsidR="00EF4833">
        <w:t>o’clock and</w:t>
      </w:r>
      <w:r w:rsidR="00135941">
        <w:t xml:space="preserve"> 3 o’clock positions. </w:t>
      </w:r>
      <w:r w:rsidR="00DC1B63">
        <w:t>At the upstream bulkhead, i</w:t>
      </w:r>
      <w:r w:rsidR="00164AB5">
        <w:t xml:space="preserve">nstall a 2-inch diameter grout return pipe at the </w:t>
      </w:r>
      <w:r w:rsidR="002E6CFA">
        <w:t xml:space="preserve">host pipe </w:t>
      </w:r>
      <w:r w:rsidR="00DC1B63">
        <w:t>obvert</w:t>
      </w:r>
      <w:r w:rsidR="00164AB5">
        <w:t xml:space="preserve"> </w:t>
      </w:r>
      <w:r w:rsidR="00DC1B63">
        <w:t xml:space="preserve">(12 o’clock position) </w:t>
      </w:r>
      <w:r w:rsidR="00164AB5">
        <w:t>with a 90-degree vertical elbow</w:t>
      </w:r>
      <w:r w:rsidR="00DC1B63">
        <w:t xml:space="preserve"> extending </w:t>
      </w:r>
      <w:r w:rsidR="002E6CFA">
        <w:t>to a</w:t>
      </w:r>
      <w:r w:rsidR="0091172B">
        <w:t xml:space="preserve"> minimum</w:t>
      </w:r>
      <w:r w:rsidR="002E6CFA">
        <w:t xml:space="preserve"> elevation </w:t>
      </w:r>
      <w:r w:rsidR="00DC1B63">
        <w:t xml:space="preserve">12-inches above the host pipe crown. At the downstream bulkhead, install a 2-inch diameter grout return pipe at the </w:t>
      </w:r>
      <w:r w:rsidR="002E6CFA">
        <w:t xml:space="preserve">host pipe </w:t>
      </w:r>
      <w:r w:rsidR="00DC1B63">
        <w:t xml:space="preserve">obvert (12 o’clock position) with a 90-degree vertical elbow extending </w:t>
      </w:r>
      <w:r w:rsidR="002E6CFA">
        <w:t>to an elevation equal to the upstream host pipe crown.</w:t>
      </w:r>
      <w:r w:rsidR="00135941">
        <w:t xml:space="preserve"> Continue </w:t>
      </w:r>
      <w:r w:rsidR="0091172B">
        <w:t xml:space="preserve">filling the </w:t>
      </w:r>
      <w:r w:rsidR="0091172B">
        <w:lastRenderedPageBreak/>
        <w:t xml:space="preserve">annular void space </w:t>
      </w:r>
      <w:r w:rsidR="00EF4833">
        <w:t xml:space="preserve">with grout </w:t>
      </w:r>
      <w:r w:rsidR="00135941">
        <w:t xml:space="preserve">until the grout </w:t>
      </w:r>
      <w:r w:rsidR="00134B94">
        <w:t>returns</w:t>
      </w:r>
      <w:r w:rsidR="00135941">
        <w:t xml:space="preserve"> from</w:t>
      </w:r>
      <w:r w:rsidR="0023468F">
        <w:t xml:space="preserve"> </w:t>
      </w:r>
      <w:r w:rsidR="00BC73C6">
        <w:t>the vertical grout return pipes at both bulkheads.</w:t>
      </w:r>
      <w:r w:rsidR="00822FC1">
        <w:t xml:space="preserve"> </w:t>
      </w:r>
      <w:r w:rsidR="00BC73C6">
        <w:t xml:space="preserve">Cap all </w:t>
      </w:r>
      <w:proofErr w:type="gramStart"/>
      <w:r w:rsidR="00BC73C6">
        <w:t>grout</w:t>
      </w:r>
      <w:proofErr w:type="gramEnd"/>
      <w:r w:rsidR="00BC73C6">
        <w:t xml:space="preserve"> return pipes once grout return is visually observed.</w:t>
      </w:r>
      <w:r w:rsidR="00822FC1">
        <w:t xml:space="preserve"> </w:t>
      </w:r>
    </w:p>
    <w:p w14:paraId="6A037472" w14:textId="346B3F14" w:rsidR="00E572CC" w:rsidRPr="00536847" w:rsidRDefault="00BC73C6" w:rsidP="00104C9E">
      <w:pPr>
        <w:pStyle w:val="1Indent1Paragraph"/>
      </w:pPr>
      <w:r>
        <w:t>E</w:t>
      </w:r>
      <w:r w:rsidR="00104C9E" w:rsidRPr="00536847">
        <w:t>.</w:t>
      </w:r>
      <w:r w:rsidR="00104C9E" w:rsidRPr="00536847">
        <w:tab/>
      </w:r>
      <w:r w:rsidR="00D54102" w:rsidRPr="00536847">
        <w:t>Ensure t</w:t>
      </w:r>
      <w:r w:rsidR="00E572CC" w:rsidRPr="00536847">
        <w:t xml:space="preserve">he maximum pressure developed by the backfill </w:t>
      </w:r>
      <w:r w:rsidR="00F62F1A" w:rsidRPr="00536847">
        <w:t xml:space="preserve">material </w:t>
      </w:r>
      <w:r w:rsidR="00D54102" w:rsidRPr="00536847">
        <w:t>does</w:t>
      </w:r>
      <w:r w:rsidR="00E572CC" w:rsidRPr="00536847">
        <w:t xml:space="preserve"> not exceed the manufacturer’s recommendation for the maximum allowable external pressure for the liner pipe.</w:t>
      </w:r>
      <w:r w:rsidR="00B229FF" w:rsidRPr="00536847">
        <w:t xml:space="preserve"> </w:t>
      </w:r>
    </w:p>
    <w:p w14:paraId="5BFA8F01" w14:textId="42097B65" w:rsidR="009B760D" w:rsidRPr="00536847" w:rsidRDefault="00BC73C6" w:rsidP="00104C9E">
      <w:pPr>
        <w:pStyle w:val="1Indent1Paragraph"/>
      </w:pPr>
      <w:r>
        <w:t>F</w:t>
      </w:r>
      <w:r w:rsidR="00104C9E" w:rsidRPr="00536847">
        <w:t>.</w:t>
      </w:r>
      <w:r w:rsidR="00104C9E" w:rsidRPr="00536847">
        <w:tab/>
      </w:r>
      <w:r w:rsidR="00661A26" w:rsidRPr="00536847">
        <w:t>Ensure t</w:t>
      </w:r>
      <w:r w:rsidR="00E572CC" w:rsidRPr="00536847">
        <w:t xml:space="preserve">he </w:t>
      </w:r>
      <w:r w:rsidR="00661A26" w:rsidRPr="00536847">
        <w:t xml:space="preserve">liner pipe maintains the designed line and grade while </w:t>
      </w:r>
      <w:r w:rsidR="00931D5A" w:rsidRPr="00536847">
        <w:t>back</w:t>
      </w:r>
      <w:r w:rsidR="00E4672F" w:rsidRPr="00536847">
        <w:t>fill material</w:t>
      </w:r>
      <w:r w:rsidR="00E572CC" w:rsidRPr="00536847">
        <w:t xml:space="preserve"> </w:t>
      </w:r>
      <w:r w:rsidR="00661A26" w:rsidRPr="00536847">
        <w:t>is placed</w:t>
      </w:r>
      <w:r w:rsidR="00E572CC" w:rsidRPr="00536847">
        <w:t xml:space="preserve">. </w:t>
      </w:r>
      <w:r w:rsidR="00323BF6" w:rsidRPr="00536847">
        <w:t>Ensure the</w:t>
      </w:r>
      <w:r w:rsidR="00E572CC" w:rsidRPr="00536847">
        <w:t xml:space="preserve"> diameter of the liner pipe across any section </w:t>
      </w:r>
      <w:r w:rsidR="00323BF6" w:rsidRPr="00536847">
        <w:t>does not vary by more than 5 percent</w:t>
      </w:r>
      <w:r w:rsidR="00E572CC" w:rsidRPr="00536847">
        <w:t xml:space="preserve">. </w:t>
      </w:r>
    </w:p>
    <w:p w14:paraId="21973785" w14:textId="00CFA252" w:rsidR="00E572CC" w:rsidRPr="00536847" w:rsidRDefault="00BC73C6" w:rsidP="00104C9E">
      <w:pPr>
        <w:pStyle w:val="1Indent1Paragraph"/>
      </w:pPr>
      <w:r>
        <w:t>G</w:t>
      </w:r>
      <w:r w:rsidR="009B760D" w:rsidRPr="00536847">
        <w:t>.</w:t>
      </w:r>
      <w:r w:rsidR="009B760D" w:rsidRPr="00536847">
        <w:tab/>
        <w:t>Install all outlet treatments and permanent erosion protection within 10 days after placement of the liner pipe.</w:t>
      </w:r>
      <w:r w:rsidR="009B760D" w:rsidRPr="00536847">
        <w:rPr>
          <w:b/>
          <w:color w:val="00B050"/>
        </w:rPr>
        <w:t xml:space="preserve"> </w:t>
      </w:r>
    </w:p>
    <w:p w14:paraId="4139B7B1" w14:textId="763905B3" w:rsidR="00E572CC" w:rsidRPr="00536847" w:rsidRDefault="00E572CC" w:rsidP="000F0305">
      <w:pPr>
        <w:pStyle w:val="SubsectionParagraph"/>
      </w:pPr>
      <w:bookmarkStart w:id="22" w:name="_Toc254089410"/>
      <w:bookmarkStart w:id="23" w:name="_Toc254097142"/>
      <w:r w:rsidRPr="00536847">
        <w:rPr>
          <w:rStyle w:val="SubsectionTitleChar"/>
        </w:rPr>
        <w:t>837.04</w:t>
      </w:r>
      <w:r w:rsidRPr="00536847">
        <w:rPr>
          <w:rStyle w:val="SubsectionTitleChar"/>
        </w:rPr>
        <w:tab/>
        <w:t>Method of Measurement</w:t>
      </w:r>
      <w:bookmarkEnd w:id="22"/>
      <w:bookmarkEnd w:id="23"/>
      <w:r w:rsidRPr="00536847">
        <w:t>.</w:t>
      </w:r>
      <w:r w:rsidR="00822FC1">
        <w:t xml:space="preserve"> </w:t>
      </w:r>
      <w:r w:rsidR="00323BF6" w:rsidRPr="00536847">
        <w:t xml:space="preserve">The Department will measure </w:t>
      </w:r>
      <w:r w:rsidRPr="00536847">
        <w:t>line</w:t>
      </w:r>
      <w:r w:rsidR="00A07FD8" w:rsidRPr="00536847">
        <w:t>a</w:t>
      </w:r>
      <w:r w:rsidRPr="00536847">
        <w:t>r</w:t>
      </w:r>
      <w:r w:rsidR="00A07FD8" w:rsidRPr="00536847">
        <w:t xml:space="preserve"> feet of liner pipe installed,</w:t>
      </w:r>
      <w:r w:rsidRPr="00536847">
        <w:t xml:space="preserve"> measured between ends.</w:t>
      </w:r>
    </w:p>
    <w:p w14:paraId="3B4F2F0A" w14:textId="749B3A66" w:rsidR="002D3352" w:rsidRPr="00536847" w:rsidRDefault="002D3352" w:rsidP="000F0305">
      <w:pPr>
        <w:pStyle w:val="SubsectionParagraph"/>
      </w:pPr>
      <w:r w:rsidRPr="00536847">
        <w:tab/>
        <w:t xml:space="preserve">The Department will measure backfill for liner pipe by the </w:t>
      </w:r>
      <w:r w:rsidR="00A07FD8" w:rsidRPr="00536847">
        <w:t xml:space="preserve">actual number of </w:t>
      </w:r>
      <w:r w:rsidRPr="00536847">
        <w:t>linear feet of backfill placed along the liner pipe to fill the voids and annular space.</w:t>
      </w:r>
    </w:p>
    <w:p w14:paraId="580389EB" w14:textId="096930C5" w:rsidR="00F62F1A" w:rsidRPr="00536847" w:rsidRDefault="00E572CC" w:rsidP="000F0305">
      <w:pPr>
        <w:pStyle w:val="SubsectionParagraph"/>
        <w:rPr>
          <w:b/>
          <w:color w:val="00B050"/>
        </w:rPr>
      </w:pPr>
      <w:bookmarkStart w:id="24" w:name="_Toc254089034"/>
      <w:bookmarkStart w:id="25" w:name="_Toc254089095"/>
      <w:bookmarkStart w:id="26" w:name="_Toc254089099"/>
      <w:bookmarkStart w:id="27" w:name="_Toc254089242"/>
      <w:bookmarkStart w:id="28" w:name="_Toc254089345"/>
      <w:bookmarkStart w:id="29" w:name="_Toc254089411"/>
      <w:bookmarkStart w:id="30" w:name="_Toc254097143"/>
      <w:r w:rsidRPr="00536847">
        <w:rPr>
          <w:rStyle w:val="SubsectionTitleChar"/>
        </w:rPr>
        <w:t>837.05</w:t>
      </w:r>
      <w:r w:rsidRPr="00536847">
        <w:rPr>
          <w:rStyle w:val="SubsectionTitleChar"/>
        </w:rPr>
        <w:tab/>
        <w:t>Basis of Payment</w:t>
      </w:r>
      <w:bookmarkEnd w:id="24"/>
      <w:bookmarkEnd w:id="25"/>
      <w:bookmarkEnd w:id="26"/>
      <w:bookmarkEnd w:id="27"/>
      <w:bookmarkEnd w:id="28"/>
      <w:bookmarkEnd w:id="29"/>
      <w:bookmarkEnd w:id="30"/>
      <w:r w:rsidRPr="00536847">
        <w:t>.</w:t>
      </w:r>
      <w:r w:rsidR="00822FC1">
        <w:t xml:space="preserve"> </w:t>
      </w:r>
      <w:r w:rsidR="00F62F1A" w:rsidRPr="00536847">
        <w:t xml:space="preserve">Payment for liner </w:t>
      </w:r>
      <w:proofErr w:type="gramStart"/>
      <w:r w:rsidR="00F62F1A" w:rsidRPr="00536847">
        <w:t>pipe</w:t>
      </w:r>
      <w:proofErr w:type="gramEnd"/>
      <w:r w:rsidR="00F62F1A" w:rsidRPr="00536847">
        <w:t xml:space="preserve"> includes all </w:t>
      </w:r>
      <w:r w:rsidR="002D3352" w:rsidRPr="00536847">
        <w:t xml:space="preserve">cleaning, disposal of </w:t>
      </w:r>
      <w:proofErr w:type="gramStart"/>
      <w:r w:rsidR="002D3352" w:rsidRPr="00536847">
        <w:t>wastes</w:t>
      </w:r>
      <w:proofErr w:type="gramEnd"/>
      <w:r w:rsidR="002D3352" w:rsidRPr="00536847">
        <w:t xml:space="preserve">, </w:t>
      </w:r>
      <w:r w:rsidR="00F62F1A" w:rsidRPr="00536847">
        <w:t xml:space="preserve">fittings, anchoring, bulkheads, </w:t>
      </w:r>
      <w:r w:rsidR="002D3352" w:rsidRPr="00536847">
        <w:t>site restoration</w:t>
      </w:r>
      <w:r w:rsidR="00F62F1A" w:rsidRPr="00536847">
        <w:t xml:space="preserve"> and equipment necessary to complete this work. </w:t>
      </w:r>
      <w:r w:rsidR="002D3352" w:rsidRPr="00536847">
        <w:t>Payment for backfill for liner pipe includes all backfill material to fill the voids and annular space</w:t>
      </w:r>
      <w:r w:rsidR="00451EA0" w:rsidRPr="00536847">
        <w:t xml:space="preserve"> and all equipment necessary to place the backfill</w:t>
      </w:r>
      <w:r w:rsidR="002D3352" w:rsidRPr="00536847">
        <w:t xml:space="preserve">. </w:t>
      </w:r>
    </w:p>
    <w:p w14:paraId="1ACED936" w14:textId="77777777" w:rsidR="00E572CC" w:rsidRPr="00536847" w:rsidRDefault="005031CA" w:rsidP="000F0305">
      <w:pPr>
        <w:pStyle w:val="SubsectionParagraph"/>
      </w:pPr>
      <w:r w:rsidRPr="00536847">
        <w:t xml:space="preserve">The Department will pay for accepted quantities </w:t>
      </w:r>
      <w:r w:rsidR="00E572CC" w:rsidRPr="00536847">
        <w:t xml:space="preserve">at the contract prices </w:t>
      </w:r>
      <w:r w:rsidRPr="00536847">
        <w:t>as follows</w:t>
      </w:r>
      <w:r w:rsidR="00E572CC" w:rsidRPr="00536847">
        <w:t xml:space="preserve">: </w:t>
      </w:r>
    </w:p>
    <w:p w14:paraId="0C6FB91F" w14:textId="77777777" w:rsidR="00104C9E" w:rsidRPr="00536847" w:rsidRDefault="00104C9E" w:rsidP="00104C9E">
      <w:pPr>
        <w:pStyle w:val="PayItemPayUnitTitle"/>
      </w:pPr>
      <w:r w:rsidRPr="00536847">
        <w:t>Item</w:t>
      </w:r>
      <w:r w:rsidRPr="00536847">
        <w:tab/>
        <w:t>Unit</w:t>
      </w:r>
      <w:r w:rsidRPr="00536847">
        <w:tab/>
        <w:t>Description</w:t>
      </w:r>
    </w:p>
    <w:p w14:paraId="351D9F32" w14:textId="30F73C5C" w:rsidR="00104C9E" w:rsidRPr="00536847" w:rsidRDefault="00104C9E" w:rsidP="004304FE">
      <w:pPr>
        <w:pStyle w:val="PayItemPayUnit"/>
        <w:ind w:left="720" w:hanging="504"/>
      </w:pPr>
      <w:r w:rsidRPr="00536847">
        <w:t>837</w:t>
      </w:r>
      <w:r w:rsidRPr="00536847">
        <w:tab/>
        <w:t>Foot</w:t>
      </w:r>
      <w:r w:rsidRPr="00536847">
        <w:tab/>
        <w:t xml:space="preserve">Liner pipe, </w:t>
      </w:r>
      <w:r w:rsidR="00BC315E" w:rsidRPr="00536847">
        <w:t xml:space="preserve">___" </w:t>
      </w:r>
      <w:r w:rsidR="00C21698" w:rsidRPr="00536847">
        <w:t xml:space="preserve">ID </w:t>
      </w:r>
      <w:r w:rsidR="005C2D57" w:rsidRPr="00536847">
        <w:t>707.01, 707.02, 707.03, 707.04,</w:t>
      </w:r>
      <w:r w:rsidR="00781A2B" w:rsidRPr="00536847">
        <w:t xml:space="preserve"> </w:t>
      </w:r>
      <w:r w:rsidR="00130795">
        <w:t xml:space="preserve">707.11, </w:t>
      </w:r>
      <w:r w:rsidR="00781A2B" w:rsidRPr="00536847">
        <w:t>707.12,</w:t>
      </w:r>
      <w:r w:rsidR="00A77F24" w:rsidRPr="00536847">
        <w:br/>
      </w:r>
      <w:r w:rsidR="00A77F24" w:rsidRPr="00536847">
        <w:tab/>
      </w:r>
      <w:r w:rsidR="00A77F24" w:rsidRPr="00536847">
        <w:tab/>
      </w:r>
      <w:r w:rsidR="00A77F24" w:rsidRPr="00536847">
        <w:tab/>
      </w:r>
      <w:r w:rsidR="00A77F24" w:rsidRPr="00536847">
        <w:tab/>
      </w:r>
      <w:r w:rsidR="005C2D57" w:rsidRPr="00536847">
        <w:t xml:space="preserve">707.21, 707.22, 707.23, </w:t>
      </w:r>
      <w:r w:rsidR="00C21698" w:rsidRPr="00536847">
        <w:t>707.24, 707.33, 707.</w:t>
      </w:r>
      <w:r w:rsidR="00C203E6" w:rsidRPr="00536847">
        <w:t>35</w:t>
      </w:r>
      <w:r w:rsidR="00C21698" w:rsidRPr="00536847">
        <w:t>,</w:t>
      </w:r>
      <w:r w:rsidR="00A77F24" w:rsidRPr="00536847">
        <w:t xml:space="preserve"> </w:t>
      </w:r>
      <w:r w:rsidR="00C21698" w:rsidRPr="00536847">
        <w:t>707.</w:t>
      </w:r>
      <w:r w:rsidR="00C203E6" w:rsidRPr="00536847">
        <w:t>36</w:t>
      </w:r>
      <w:r w:rsidR="00C21698" w:rsidRPr="00536847">
        <w:t>,</w:t>
      </w:r>
      <w:r w:rsidR="00A77F24" w:rsidRPr="00536847">
        <w:br/>
      </w:r>
      <w:r w:rsidR="00A77F24" w:rsidRPr="00536847">
        <w:tab/>
      </w:r>
      <w:r w:rsidR="00A77F24" w:rsidRPr="00536847">
        <w:tab/>
      </w:r>
      <w:r w:rsidR="00A77F24" w:rsidRPr="00536847">
        <w:tab/>
      </w:r>
      <w:r w:rsidR="00A77F24" w:rsidRPr="00536847">
        <w:tab/>
      </w:r>
      <w:r w:rsidR="00C203E6" w:rsidRPr="00536847">
        <w:t xml:space="preserve">707.42, 707.43, </w:t>
      </w:r>
      <w:r w:rsidR="00C21698" w:rsidRPr="00536847">
        <w:t>748.06,</w:t>
      </w:r>
      <w:r w:rsidR="002532AF" w:rsidRPr="00536847">
        <w:t xml:space="preserve"> </w:t>
      </w:r>
      <w:r w:rsidR="00D91CA3">
        <w:t>707.85</w:t>
      </w:r>
      <w:r w:rsidR="00195DE3" w:rsidRPr="00536847">
        <w:t>, 707.75</w:t>
      </w:r>
      <w:r w:rsidR="00C21698" w:rsidRPr="00536847">
        <w:t xml:space="preserve"> or ___" OD </w:t>
      </w:r>
      <w:r w:rsidR="00BC49DE" w:rsidRPr="00536847">
        <w:t>707.34</w:t>
      </w:r>
    </w:p>
    <w:p w14:paraId="4C711F33" w14:textId="57FCD39C" w:rsidR="00610B27" w:rsidRPr="00536847" w:rsidRDefault="00104C9E" w:rsidP="008F086C">
      <w:pPr>
        <w:pStyle w:val="PayItemPayUnit"/>
      </w:pPr>
      <w:r w:rsidRPr="00536847">
        <w:t>837</w:t>
      </w:r>
      <w:r w:rsidRPr="00536847">
        <w:tab/>
      </w:r>
      <w:r w:rsidR="00451EA0" w:rsidRPr="00536847">
        <w:t>Foot</w:t>
      </w:r>
      <w:r w:rsidRPr="00536847">
        <w:tab/>
        <w:t>Backfill for Liner Pipe</w:t>
      </w:r>
    </w:p>
    <w:p w14:paraId="2AC6BFCB" w14:textId="1910061D" w:rsidR="00E572CC" w:rsidRPr="00536847" w:rsidRDefault="00B92D24" w:rsidP="00272F60">
      <w:pPr>
        <w:pStyle w:val="PayItemPayUnit"/>
        <w:ind w:left="0"/>
        <w:jc w:val="both"/>
      </w:pPr>
      <w:r w:rsidRPr="00536847">
        <w:br w:type="page"/>
      </w:r>
      <w:r w:rsidR="00610B27" w:rsidRPr="00536847">
        <w:rPr>
          <w:b/>
        </w:rPr>
        <w:lastRenderedPageBreak/>
        <w:t>Designer Note:</w:t>
      </w:r>
      <w:r w:rsidR="00610B27" w:rsidRPr="00536847">
        <w:t xml:space="preserve"> </w:t>
      </w:r>
      <w:r w:rsidR="00A93D2C" w:rsidRPr="00536847">
        <w:t>This specification is for using liner pipe to rehabilitate existing conduits.</w:t>
      </w:r>
      <w:r w:rsidR="00822FC1">
        <w:t xml:space="preserve"> </w:t>
      </w:r>
      <w:r w:rsidR="00A93D2C" w:rsidRPr="00536847">
        <w:t>Design</w:t>
      </w:r>
      <w:r w:rsidR="002532AF" w:rsidRPr="00536847">
        <w:t xml:space="preserve"> </w:t>
      </w:r>
      <w:r w:rsidR="00A93D2C" w:rsidRPr="00536847">
        <w:t xml:space="preserve">the liner pipe according to the Location and Design Manual, Volume 2, Drainage Design. </w:t>
      </w:r>
      <w:r w:rsidR="00BC315E" w:rsidRPr="00536847">
        <w:t xml:space="preserve">Specify the size and type of liner pipe. </w:t>
      </w:r>
      <w:r w:rsidR="00F60DA1" w:rsidRPr="00536847">
        <w:t xml:space="preserve">Refer to the specification for the </w:t>
      </w:r>
      <w:proofErr w:type="gramStart"/>
      <w:r w:rsidR="00553353" w:rsidRPr="00536847">
        <w:t xml:space="preserve">particular type of </w:t>
      </w:r>
      <w:r w:rsidR="00F60DA1" w:rsidRPr="00536847">
        <w:t>pipe</w:t>
      </w:r>
      <w:proofErr w:type="gramEnd"/>
      <w:r w:rsidR="00F60DA1" w:rsidRPr="00536847">
        <w:t xml:space="preserve"> for additional requirements, such as limits on pipe size.</w:t>
      </w:r>
    </w:p>
    <w:p w14:paraId="25B8A78A" w14:textId="77777777" w:rsidR="00C21698" w:rsidRPr="00536847" w:rsidRDefault="00C21698">
      <w:pPr>
        <w:jc w:val="both"/>
      </w:pPr>
    </w:p>
    <w:p w14:paraId="380015FA" w14:textId="708CB2B5" w:rsidR="00C21698" w:rsidRPr="00536847" w:rsidRDefault="00C21698">
      <w:pPr>
        <w:jc w:val="both"/>
      </w:pPr>
      <w:r w:rsidRPr="00536847">
        <w:t xml:space="preserve">The designer is responsible for checking with the manufacturers for the most current inside and outside diameters. The designer must ensure that the OD will fit in the host pipe and that the </w:t>
      </w:r>
      <w:r w:rsidR="19024463">
        <w:t>inside diameter</w:t>
      </w:r>
      <w:r w:rsidR="5F1808F2">
        <w:t xml:space="preserve"> </w:t>
      </w:r>
      <w:r w:rsidR="71E47D60">
        <w:t>(</w:t>
      </w:r>
      <w:r w:rsidRPr="00536847">
        <w:t>ID</w:t>
      </w:r>
      <w:r w:rsidR="2070BE41">
        <w:t>)</w:t>
      </w:r>
      <w:r w:rsidRPr="00536847">
        <w:t xml:space="preserve"> meets the hydraulic requirements. Not every pipe will work in every situation.</w:t>
      </w:r>
      <w:r w:rsidR="00967F07" w:rsidRPr="00536847">
        <w:t xml:space="preserve"> Only list the types of liner pipe that will work for the situation in the pay item description. Pipes are typically specified by the inside </w:t>
      </w:r>
      <w:proofErr w:type="gramStart"/>
      <w:r w:rsidR="00967F07" w:rsidRPr="00536847">
        <w:t>diameter, but</w:t>
      </w:r>
      <w:proofErr w:type="gramEnd"/>
      <w:r w:rsidR="00967F07" w:rsidRPr="00536847">
        <w:t xml:space="preserve"> note that polyethylene liner pipe (</w:t>
      </w:r>
      <w:r w:rsidR="00944BDC" w:rsidRPr="00536847">
        <w:t>707.34</w:t>
      </w:r>
      <w:r w:rsidR="00967F07" w:rsidRPr="00536847">
        <w:t xml:space="preserve">) is specified by the </w:t>
      </w:r>
      <w:r w:rsidR="1369CA59">
        <w:t>OD</w:t>
      </w:r>
      <w:r w:rsidR="002B5CEF" w:rsidRPr="00536847">
        <w:t>.</w:t>
      </w:r>
    </w:p>
    <w:p w14:paraId="7657DE2D" w14:textId="77777777" w:rsidR="00944BDC" w:rsidRPr="00536847" w:rsidRDefault="00944BDC">
      <w:pPr>
        <w:jc w:val="both"/>
      </w:pPr>
    </w:p>
    <w:p w14:paraId="23F353B1" w14:textId="5D1C87AB" w:rsidR="00944BDC" w:rsidRPr="00536847" w:rsidRDefault="00944BDC">
      <w:pPr>
        <w:jc w:val="both"/>
      </w:pPr>
      <w:r w:rsidRPr="00536847">
        <w:t>Ovalized polyethylene profile wall pipe (707.35)</w:t>
      </w:r>
      <w:r w:rsidR="009441F0" w:rsidRPr="00536847">
        <w:t xml:space="preserve"> liners are available. Refer to the manufacturer for sizes.</w:t>
      </w:r>
    </w:p>
    <w:p w14:paraId="48DE8424" w14:textId="77777777" w:rsidR="00DA1D04" w:rsidRPr="00536847" w:rsidRDefault="00DA1D04" w:rsidP="00272F60">
      <w:pPr>
        <w:jc w:val="both"/>
      </w:pPr>
    </w:p>
    <w:p w14:paraId="1B8046ED" w14:textId="730F4203" w:rsidR="00DA1D04" w:rsidRPr="00536847" w:rsidRDefault="00DA1D04" w:rsidP="00272F60">
      <w:pPr>
        <w:jc w:val="both"/>
      </w:pPr>
      <w:r w:rsidRPr="00536847">
        <w:t xml:space="preserve">Ensure the hydraulic calculations reflect the increased conduit roughness when using corrugated steel </w:t>
      </w:r>
      <w:r w:rsidR="00020DEE" w:rsidRPr="00536847">
        <w:t>pipe</w:t>
      </w:r>
      <w:r w:rsidRPr="00536847">
        <w:t xml:space="preserve"> </w:t>
      </w:r>
      <w:r w:rsidR="00020DEE" w:rsidRPr="00536847">
        <w:t>(</w:t>
      </w:r>
      <w:r w:rsidRPr="00536847">
        <w:t>707.01 or 707.02</w:t>
      </w:r>
      <w:r w:rsidR="00020DEE" w:rsidRPr="00536847">
        <w:t>)</w:t>
      </w:r>
      <w:r w:rsidRPr="00536847">
        <w:t xml:space="preserve">, structural plate corrugated steel structure </w:t>
      </w:r>
      <w:r w:rsidR="00020DEE" w:rsidRPr="00536847">
        <w:t>(</w:t>
      </w:r>
      <w:r w:rsidRPr="00536847">
        <w:t>707.03</w:t>
      </w:r>
      <w:r w:rsidR="00020DEE" w:rsidRPr="00536847">
        <w:t>)</w:t>
      </w:r>
      <w:r w:rsidRPr="00536847">
        <w:t xml:space="preserve">, precoated, galvanized steel culvert </w:t>
      </w:r>
      <w:r w:rsidR="00020DEE" w:rsidRPr="00536847">
        <w:t>(</w:t>
      </w:r>
      <w:r w:rsidRPr="00536847">
        <w:t>707.04</w:t>
      </w:r>
      <w:r w:rsidR="00020DEE" w:rsidRPr="00536847">
        <w:t>)</w:t>
      </w:r>
      <w:r w:rsidRPr="00536847">
        <w:t xml:space="preserve">, corrugated aluminum alloy pipe </w:t>
      </w:r>
      <w:r w:rsidR="00020DEE" w:rsidRPr="00536847">
        <w:t>(</w:t>
      </w:r>
      <w:r w:rsidRPr="00536847">
        <w:t>707.21 or 707.22</w:t>
      </w:r>
      <w:r w:rsidR="00020DEE" w:rsidRPr="00536847">
        <w:t>)</w:t>
      </w:r>
      <w:r w:rsidRPr="00536847">
        <w:t xml:space="preserve">, and aluminum alloy structural plate conduit </w:t>
      </w:r>
      <w:r w:rsidR="00020DEE" w:rsidRPr="00536847">
        <w:t>(</w:t>
      </w:r>
      <w:r w:rsidRPr="00536847">
        <w:t>707.23</w:t>
      </w:r>
      <w:r w:rsidR="00020DEE" w:rsidRPr="00536847">
        <w:t>)</w:t>
      </w:r>
      <w:r w:rsidRPr="00536847">
        <w:t>.</w:t>
      </w:r>
      <w:r w:rsidR="00822FC1">
        <w:t xml:space="preserve"> </w:t>
      </w:r>
    </w:p>
    <w:p w14:paraId="232DB084" w14:textId="77777777" w:rsidR="00A77F24" w:rsidRPr="00536847" w:rsidRDefault="00A77F24" w:rsidP="002532AF">
      <w:pPr>
        <w:jc w:val="both"/>
      </w:pPr>
    </w:p>
    <w:p w14:paraId="6B2EAD9E" w14:textId="42ED742B" w:rsidR="004F4507" w:rsidRPr="00536847" w:rsidRDefault="00624430" w:rsidP="00272F60">
      <w:pPr>
        <w:jc w:val="both"/>
      </w:pPr>
      <w:r w:rsidRPr="00536847">
        <w:t>Determine the estimated quantity of backfill material by calculating the volume of the annular space between the liner pipe and the existing conduit and then adding the estimated volume of any voids along the length of the existing conduit.</w:t>
      </w:r>
      <w:r w:rsidR="00822FC1">
        <w:t xml:space="preserve"> </w:t>
      </w:r>
      <w:r w:rsidR="00EA7A44" w:rsidRPr="00536847">
        <w:t xml:space="preserve">Do not include the backfill material calculations on the plans. Provide a supplement of the backfill quantity calculations to the </w:t>
      </w:r>
      <w:proofErr w:type="gramStart"/>
      <w:r w:rsidR="00EA7A44" w:rsidRPr="00536847">
        <w:t>District</w:t>
      </w:r>
      <w:proofErr w:type="gramEnd"/>
      <w:r w:rsidR="00EA7A44" w:rsidRPr="00536847">
        <w:t>.</w:t>
      </w:r>
    </w:p>
    <w:p w14:paraId="16E8B1B3" w14:textId="77777777" w:rsidR="004F4507" w:rsidRPr="00536847" w:rsidRDefault="004F4507" w:rsidP="00272F60">
      <w:pPr>
        <w:jc w:val="both"/>
      </w:pPr>
    </w:p>
    <w:p w14:paraId="5D41E723" w14:textId="024A39E4" w:rsidR="00DC37AF" w:rsidRDefault="004F4507" w:rsidP="00272F60">
      <w:pPr>
        <w:jc w:val="both"/>
      </w:pPr>
      <w:r w:rsidRPr="00536847">
        <w:t xml:space="preserve">If </w:t>
      </w:r>
      <w:r w:rsidR="00BE6EB1" w:rsidRPr="00536847">
        <w:t xml:space="preserve">the designer wishes to specify other backfill </w:t>
      </w:r>
      <w:proofErr w:type="gramStart"/>
      <w:r w:rsidR="00BE6EB1" w:rsidRPr="00536847">
        <w:t>materials</w:t>
      </w:r>
      <w:proofErr w:type="gramEnd"/>
      <w:r w:rsidR="00BE6EB1" w:rsidRPr="00536847">
        <w:t xml:space="preserve"> contact OHE for approval.</w:t>
      </w:r>
    </w:p>
    <w:p w14:paraId="599C1F39" w14:textId="55580DB5" w:rsidR="00265ABB" w:rsidRPr="00ED005C" w:rsidRDefault="00265ABB" w:rsidP="008B0A70">
      <w:pPr>
        <w:tabs>
          <w:tab w:val="left" w:pos="360"/>
        </w:tabs>
        <w:spacing w:before="185" w:line="242" w:lineRule="auto"/>
        <w:ind w:right="134"/>
      </w:pPr>
      <w:r>
        <w:t xml:space="preserve">The department may perform testing after installation to verify that the annulus void is completely or mostly filled. This may include but is not limited </w:t>
      </w:r>
      <w:proofErr w:type="gramStart"/>
      <w:r>
        <w:t>to;</w:t>
      </w:r>
      <w:proofErr w:type="gramEnd"/>
      <w:r>
        <w:t xml:space="preserve"> sounding, endoscope inspection through a ½-inch hole in the liner pipe as well as partial removal of bulkheads. The contractor is responsible for completely filling identified voids at no additional cost to the Department.</w:t>
      </w:r>
    </w:p>
    <w:p w14:paraId="6E5BAA5F" w14:textId="77777777" w:rsidR="00265ABB" w:rsidRPr="00ED005C" w:rsidRDefault="00265ABB" w:rsidP="00272F60">
      <w:pPr>
        <w:jc w:val="both"/>
      </w:pPr>
    </w:p>
    <w:p w14:paraId="5B1DBE48" w14:textId="77777777" w:rsidR="00DC37AF" w:rsidRPr="00536847" w:rsidRDefault="00DC37AF" w:rsidP="00272F60">
      <w:pPr>
        <w:jc w:val="both"/>
      </w:pPr>
    </w:p>
    <w:p w14:paraId="2AD97732" w14:textId="3C2EFC42" w:rsidR="00624430" w:rsidRPr="00536847" w:rsidRDefault="00624430" w:rsidP="00272F60">
      <w:pPr>
        <w:jc w:val="both"/>
      </w:pPr>
    </w:p>
    <w:p w14:paraId="73BE7853" w14:textId="77777777" w:rsidR="00B0601E" w:rsidRPr="00536847" w:rsidRDefault="00B0601E" w:rsidP="00272F60">
      <w:pPr>
        <w:pStyle w:val="EquationText"/>
        <w:jc w:val="both"/>
        <w:rPr>
          <w:rFonts w:ascii="Times New Roman" w:hAnsi="Times New Roman"/>
          <w:highlight w:val="yellow"/>
        </w:rPr>
      </w:pPr>
    </w:p>
    <w:p w14:paraId="41D174BC" w14:textId="77777777" w:rsidR="00A77F24" w:rsidRPr="00536847" w:rsidRDefault="00A77F24" w:rsidP="008F086C"/>
    <w:p w14:paraId="1B781A41" w14:textId="77777777" w:rsidR="00A77F24" w:rsidRPr="00536847" w:rsidRDefault="00A77F24" w:rsidP="008F086C"/>
    <w:sectPr w:rsidR="00A77F24" w:rsidRPr="00536847" w:rsidSect="005031C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20D1" w14:textId="77777777" w:rsidR="002B490A" w:rsidRDefault="002B490A">
      <w:r>
        <w:separator/>
      </w:r>
    </w:p>
  </w:endnote>
  <w:endnote w:type="continuationSeparator" w:id="0">
    <w:p w14:paraId="54CE7064" w14:textId="77777777" w:rsidR="002B490A" w:rsidRDefault="002B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481B" w14:textId="77777777" w:rsidR="00A77F24" w:rsidRDefault="00A77F24" w:rsidP="00B92D24">
    <w:pPr>
      <w:framePr w:wrap="around" w:vAnchor="text" w:hAnchor="margin" w:xAlign="center" w:y="1"/>
    </w:pPr>
    <w:r>
      <w:fldChar w:fldCharType="begin"/>
    </w:r>
    <w:r>
      <w:instrText xml:space="preserve">PAGE  </w:instrText>
    </w:r>
    <w:r>
      <w:fldChar w:fldCharType="separate"/>
    </w:r>
    <w:r>
      <w:rPr>
        <w:noProof/>
      </w:rPr>
      <w:t>1</w:t>
    </w:r>
    <w:r>
      <w:fldChar w:fldCharType="end"/>
    </w:r>
  </w:p>
  <w:p w14:paraId="0E86F779" w14:textId="77777777" w:rsidR="00A77F24" w:rsidRDefault="00A77F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6292" w14:textId="0EB1396D" w:rsidR="00A77F24" w:rsidRPr="00320B9E" w:rsidRDefault="00A77F24" w:rsidP="00320B9E">
    <w:pPr>
      <w:tabs>
        <w:tab w:val="left" w:pos="4680"/>
      </w:tabs>
      <w:rPr>
        <w:rStyle w:val="PageNumber"/>
      </w:rPr>
    </w:pPr>
    <w:r>
      <w:tab/>
    </w:r>
    <w:r w:rsidRPr="00320B9E">
      <w:rPr>
        <w:rStyle w:val="PageNumber"/>
      </w:rPr>
      <w:fldChar w:fldCharType="begin"/>
    </w:r>
    <w:r w:rsidRPr="00320B9E">
      <w:rPr>
        <w:rStyle w:val="PageNumber"/>
      </w:rPr>
      <w:instrText xml:space="preserve"> PAGE </w:instrText>
    </w:r>
    <w:r w:rsidRPr="00320B9E">
      <w:rPr>
        <w:rStyle w:val="PageNumber"/>
      </w:rPr>
      <w:fldChar w:fldCharType="separate"/>
    </w:r>
    <w:r w:rsidR="00536847">
      <w:rPr>
        <w:rStyle w:val="PageNumber"/>
        <w:noProof/>
      </w:rPr>
      <w:t>5</w:t>
    </w:r>
    <w:r w:rsidRPr="00320B9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7728" w14:textId="77777777" w:rsidR="004559AA" w:rsidRDefault="00455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D47B" w14:textId="77777777" w:rsidR="002B490A" w:rsidRDefault="002B490A">
      <w:r>
        <w:separator/>
      </w:r>
    </w:p>
  </w:footnote>
  <w:footnote w:type="continuationSeparator" w:id="0">
    <w:p w14:paraId="626689A6" w14:textId="77777777" w:rsidR="002B490A" w:rsidRDefault="002B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F14" w14:textId="77777777" w:rsidR="004559AA" w:rsidRDefault="00455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5E6E" w14:textId="77777777" w:rsidR="004559AA" w:rsidRDefault="00455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1F49" w14:textId="77777777" w:rsidR="004559AA" w:rsidRDefault="00455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031"/>
    <w:multiLevelType w:val="multilevel"/>
    <w:tmpl w:val="53F0720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9E13ED"/>
    <w:multiLevelType w:val="multilevel"/>
    <w:tmpl w:val="F9C49EB8"/>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 w15:restartNumberingAfterBreak="0">
    <w:nsid w:val="16DA6217"/>
    <w:multiLevelType w:val="hybridMultilevel"/>
    <w:tmpl w:val="990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27EAA"/>
    <w:multiLevelType w:val="multilevel"/>
    <w:tmpl w:val="BAEC977A"/>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62B90F09"/>
    <w:multiLevelType w:val="hybridMultilevel"/>
    <w:tmpl w:val="02ACC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0E12AD"/>
    <w:multiLevelType w:val="hybridMultilevel"/>
    <w:tmpl w:val="5EC8996C"/>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C249CC"/>
    <w:multiLevelType w:val="hybridMultilevel"/>
    <w:tmpl w:val="53F07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38894202">
    <w:abstractNumId w:val="6"/>
  </w:num>
  <w:num w:numId="2" w16cid:durableId="1982269256">
    <w:abstractNumId w:val="0"/>
  </w:num>
  <w:num w:numId="3" w16cid:durableId="1796172965">
    <w:abstractNumId w:val="5"/>
  </w:num>
  <w:num w:numId="4" w16cid:durableId="1977374959">
    <w:abstractNumId w:val="4"/>
  </w:num>
  <w:num w:numId="5" w16cid:durableId="1618484775">
    <w:abstractNumId w:val="3"/>
  </w:num>
  <w:num w:numId="6" w16cid:durableId="399450200">
    <w:abstractNumId w:val="3"/>
  </w:num>
  <w:num w:numId="7" w16cid:durableId="1155150261">
    <w:abstractNumId w:val="3"/>
  </w:num>
  <w:num w:numId="8" w16cid:durableId="198788427">
    <w:abstractNumId w:val="3"/>
  </w:num>
  <w:num w:numId="9" w16cid:durableId="1523086127">
    <w:abstractNumId w:val="3"/>
  </w:num>
  <w:num w:numId="10" w16cid:durableId="354506136">
    <w:abstractNumId w:val="3"/>
  </w:num>
  <w:num w:numId="11" w16cid:durableId="122162880">
    <w:abstractNumId w:val="3"/>
  </w:num>
  <w:num w:numId="12" w16cid:durableId="269320189">
    <w:abstractNumId w:val="1"/>
  </w:num>
  <w:num w:numId="13" w16cid:durableId="32194803">
    <w:abstractNumId w:val="1"/>
  </w:num>
  <w:num w:numId="14" w16cid:durableId="2139104944">
    <w:abstractNumId w:val="1"/>
  </w:num>
  <w:num w:numId="15" w16cid:durableId="341248683">
    <w:abstractNumId w:val="3"/>
  </w:num>
  <w:num w:numId="16" w16cid:durableId="301692815">
    <w:abstractNumId w:val="3"/>
  </w:num>
  <w:num w:numId="17" w16cid:durableId="335545703">
    <w:abstractNumId w:val="3"/>
  </w:num>
  <w:num w:numId="18" w16cid:durableId="1146702922">
    <w:abstractNumId w:val="3"/>
  </w:num>
  <w:num w:numId="19" w16cid:durableId="1384400519">
    <w:abstractNumId w:val="3"/>
  </w:num>
  <w:num w:numId="20" w16cid:durableId="785850878">
    <w:abstractNumId w:val="3"/>
  </w:num>
  <w:num w:numId="21" w16cid:durableId="1445686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C"/>
    <w:rsid w:val="00011E40"/>
    <w:rsid w:val="00014BA9"/>
    <w:rsid w:val="00017DB4"/>
    <w:rsid w:val="00020DEE"/>
    <w:rsid w:val="00026374"/>
    <w:rsid w:val="00030AB2"/>
    <w:rsid w:val="00047B83"/>
    <w:rsid w:val="000528C7"/>
    <w:rsid w:val="00056990"/>
    <w:rsid w:val="00064B1D"/>
    <w:rsid w:val="00064D55"/>
    <w:rsid w:val="000653CC"/>
    <w:rsid w:val="00065C04"/>
    <w:rsid w:val="0007090C"/>
    <w:rsid w:val="00073D81"/>
    <w:rsid w:val="00077BD7"/>
    <w:rsid w:val="00083862"/>
    <w:rsid w:val="000A04F7"/>
    <w:rsid w:val="000A336C"/>
    <w:rsid w:val="000A42CA"/>
    <w:rsid w:val="000B37F9"/>
    <w:rsid w:val="000B4E1A"/>
    <w:rsid w:val="000D7B7A"/>
    <w:rsid w:val="000E3EE4"/>
    <w:rsid w:val="000E5A0E"/>
    <w:rsid w:val="000E76B5"/>
    <w:rsid w:val="000F0305"/>
    <w:rsid w:val="000F7E68"/>
    <w:rsid w:val="00103168"/>
    <w:rsid w:val="00104C9E"/>
    <w:rsid w:val="001176D3"/>
    <w:rsid w:val="00130795"/>
    <w:rsid w:val="001315B9"/>
    <w:rsid w:val="00131EBA"/>
    <w:rsid w:val="00134B94"/>
    <w:rsid w:val="00135941"/>
    <w:rsid w:val="00135C21"/>
    <w:rsid w:val="001363D0"/>
    <w:rsid w:val="00137174"/>
    <w:rsid w:val="0014141D"/>
    <w:rsid w:val="001417CF"/>
    <w:rsid w:val="00143EC7"/>
    <w:rsid w:val="00147563"/>
    <w:rsid w:val="0015071A"/>
    <w:rsid w:val="00152BA1"/>
    <w:rsid w:val="00164AB5"/>
    <w:rsid w:val="001677F7"/>
    <w:rsid w:val="0017651B"/>
    <w:rsid w:val="001774EA"/>
    <w:rsid w:val="001828D7"/>
    <w:rsid w:val="00182984"/>
    <w:rsid w:val="00193EB6"/>
    <w:rsid w:val="00195212"/>
    <w:rsid w:val="00195DE3"/>
    <w:rsid w:val="001A2BE2"/>
    <w:rsid w:val="001A5ACA"/>
    <w:rsid w:val="001A5C14"/>
    <w:rsid w:val="001B4E26"/>
    <w:rsid w:val="001B6774"/>
    <w:rsid w:val="001C04AE"/>
    <w:rsid w:val="001D5007"/>
    <w:rsid w:val="001D589C"/>
    <w:rsid w:val="001D7C0C"/>
    <w:rsid w:val="001E09C2"/>
    <w:rsid w:val="001E3E7C"/>
    <w:rsid w:val="001E5939"/>
    <w:rsid w:val="001E6A41"/>
    <w:rsid w:val="001F5EB8"/>
    <w:rsid w:val="00211E7B"/>
    <w:rsid w:val="0021531F"/>
    <w:rsid w:val="00215C42"/>
    <w:rsid w:val="0021707F"/>
    <w:rsid w:val="00221EA6"/>
    <w:rsid w:val="00224584"/>
    <w:rsid w:val="00230004"/>
    <w:rsid w:val="0023468F"/>
    <w:rsid w:val="002408D0"/>
    <w:rsid w:val="00244ACB"/>
    <w:rsid w:val="00245CFE"/>
    <w:rsid w:val="002532AF"/>
    <w:rsid w:val="00254945"/>
    <w:rsid w:val="002552ED"/>
    <w:rsid w:val="002616BA"/>
    <w:rsid w:val="002623E3"/>
    <w:rsid w:val="002637BD"/>
    <w:rsid w:val="00265ABB"/>
    <w:rsid w:val="00270745"/>
    <w:rsid w:val="00271F25"/>
    <w:rsid w:val="002727E3"/>
    <w:rsid w:val="00272F60"/>
    <w:rsid w:val="00282112"/>
    <w:rsid w:val="00295703"/>
    <w:rsid w:val="00296D8D"/>
    <w:rsid w:val="002B0E47"/>
    <w:rsid w:val="002B252B"/>
    <w:rsid w:val="002B490A"/>
    <w:rsid w:val="002B5B2E"/>
    <w:rsid w:val="002B5CEF"/>
    <w:rsid w:val="002B744D"/>
    <w:rsid w:val="002B7C5C"/>
    <w:rsid w:val="002C10F0"/>
    <w:rsid w:val="002C18F1"/>
    <w:rsid w:val="002D1ADD"/>
    <w:rsid w:val="002D3352"/>
    <w:rsid w:val="002D6B59"/>
    <w:rsid w:val="002E1746"/>
    <w:rsid w:val="002E6CFA"/>
    <w:rsid w:val="002F0DFD"/>
    <w:rsid w:val="002F0EAD"/>
    <w:rsid w:val="002F7AD5"/>
    <w:rsid w:val="00310377"/>
    <w:rsid w:val="00314402"/>
    <w:rsid w:val="00320B9E"/>
    <w:rsid w:val="00323BF6"/>
    <w:rsid w:val="003249B5"/>
    <w:rsid w:val="00331108"/>
    <w:rsid w:val="00333D7E"/>
    <w:rsid w:val="00342EA0"/>
    <w:rsid w:val="00343B69"/>
    <w:rsid w:val="00343E46"/>
    <w:rsid w:val="0035122B"/>
    <w:rsid w:val="003532BD"/>
    <w:rsid w:val="0035415C"/>
    <w:rsid w:val="00356E59"/>
    <w:rsid w:val="00357044"/>
    <w:rsid w:val="00360CB6"/>
    <w:rsid w:val="00362913"/>
    <w:rsid w:val="00371BFA"/>
    <w:rsid w:val="003748B9"/>
    <w:rsid w:val="0038085E"/>
    <w:rsid w:val="003853D1"/>
    <w:rsid w:val="003948D4"/>
    <w:rsid w:val="003965D3"/>
    <w:rsid w:val="003A310A"/>
    <w:rsid w:val="003A7570"/>
    <w:rsid w:val="003B4933"/>
    <w:rsid w:val="003B66CE"/>
    <w:rsid w:val="003E05F8"/>
    <w:rsid w:val="003E6747"/>
    <w:rsid w:val="003F286C"/>
    <w:rsid w:val="003F2E5A"/>
    <w:rsid w:val="003F67A8"/>
    <w:rsid w:val="003F6B2B"/>
    <w:rsid w:val="0040276A"/>
    <w:rsid w:val="00406D93"/>
    <w:rsid w:val="00407B3B"/>
    <w:rsid w:val="004116B6"/>
    <w:rsid w:val="004149E6"/>
    <w:rsid w:val="004259F7"/>
    <w:rsid w:val="004304FE"/>
    <w:rsid w:val="004348C9"/>
    <w:rsid w:val="004351EC"/>
    <w:rsid w:val="004365C2"/>
    <w:rsid w:val="00445738"/>
    <w:rsid w:val="00445844"/>
    <w:rsid w:val="00451EA0"/>
    <w:rsid w:val="00452E12"/>
    <w:rsid w:val="004537F8"/>
    <w:rsid w:val="00454D55"/>
    <w:rsid w:val="004559AA"/>
    <w:rsid w:val="00462FD3"/>
    <w:rsid w:val="004677C1"/>
    <w:rsid w:val="004736B2"/>
    <w:rsid w:val="00473C63"/>
    <w:rsid w:val="0047420D"/>
    <w:rsid w:val="004768FF"/>
    <w:rsid w:val="00484A24"/>
    <w:rsid w:val="004914EE"/>
    <w:rsid w:val="00493B59"/>
    <w:rsid w:val="004A7B55"/>
    <w:rsid w:val="004B162A"/>
    <w:rsid w:val="004B277F"/>
    <w:rsid w:val="004B49CB"/>
    <w:rsid w:val="004C1F59"/>
    <w:rsid w:val="004C2465"/>
    <w:rsid w:val="004D31D1"/>
    <w:rsid w:val="004D3693"/>
    <w:rsid w:val="004E3D39"/>
    <w:rsid w:val="004E4DD2"/>
    <w:rsid w:val="004F063E"/>
    <w:rsid w:val="004F4507"/>
    <w:rsid w:val="004F4589"/>
    <w:rsid w:val="005003FC"/>
    <w:rsid w:val="00500C8E"/>
    <w:rsid w:val="00500CB8"/>
    <w:rsid w:val="005031CA"/>
    <w:rsid w:val="005054E4"/>
    <w:rsid w:val="0050624A"/>
    <w:rsid w:val="00507E21"/>
    <w:rsid w:val="0051271D"/>
    <w:rsid w:val="00515E4F"/>
    <w:rsid w:val="00522E90"/>
    <w:rsid w:val="00523CE3"/>
    <w:rsid w:val="00526B27"/>
    <w:rsid w:val="00526FF1"/>
    <w:rsid w:val="00532CB0"/>
    <w:rsid w:val="00536847"/>
    <w:rsid w:val="0054569B"/>
    <w:rsid w:val="00546F26"/>
    <w:rsid w:val="00553353"/>
    <w:rsid w:val="00555DE1"/>
    <w:rsid w:val="00573D22"/>
    <w:rsid w:val="005835FC"/>
    <w:rsid w:val="00590861"/>
    <w:rsid w:val="0059543E"/>
    <w:rsid w:val="00596E02"/>
    <w:rsid w:val="00597347"/>
    <w:rsid w:val="005A2D47"/>
    <w:rsid w:val="005A4E02"/>
    <w:rsid w:val="005A71F2"/>
    <w:rsid w:val="005B5CE2"/>
    <w:rsid w:val="005B67FE"/>
    <w:rsid w:val="005C2D57"/>
    <w:rsid w:val="005C4FCA"/>
    <w:rsid w:val="005D188E"/>
    <w:rsid w:val="005D6B41"/>
    <w:rsid w:val="005E752F"/>
    <w:rsid w:val="005F48DC"/>
    <w:rsid w:val="005F4B3A"/>
    <w:rsid w:val="005F5B4C"/>
    <w:rsid w:val="00600AAC"/>
    <w:rsid w:val="00605420"/>
    <w:rsid w:val="00605CA3"/>
    <w:rsid w:val="00610B27"/>
    <w:rsid w:val="00624427"/>
    <w:rsid w:val="00624430"/>
    <w:rsid w:val="006257A6"/>
    <w:rsid w:val="00627BF8"/>
    <w:rsid w:val="00642816"/>
    <w:rsid w:val="006478CC"/>
    <w:rsid w:val="00652028"/>
    <w:rsid w:val="00653642"/>
    <w:rsid w:val="00661A26"/>
    <w:rsid w:val="00661AEE"/>
    <w:rsid w:val="00664FC7"/>
    <w:rsid w:val="00670D70"/>
    <w:rsid w:val="00683B59"/>
    <w:rsid w:val="0068681A"/>
    <w:rsid w:val="00686BC6"/>
    <w:rsid w:val="00693C79"/>
    <w:rsid w:val="00694F67"/>
    <w:rsid w:val="006A5B62"/>
    <w:rsid w:val="006B502C"/>
    <w:rsid w:val="006B50BF"/>
    <w:rsid w:val="006C16A4"/>
    <w:rsid w:val="006C6573"/>
    <w:rsid w:val="006E0A7B"/>
    <w:rsid w:val="007032D7"/>
    <w:rsid w:val="00723C6D"/>
    <w:rsid w:val="00724FB0"/>
    <w:rsid w:val="00725674"/>
    <w:rsid w:val="00730203"/>
    <w:rsid w:val="007436CB"/>
    <w:rsid w:val="00745B13"/>
    <w:rsid w:val="00756D97"/>
    <w:rsid w:val="0075764D"/>
    <w:rsid w:val="00765C66"/>
    <w:rsid w:val="00767456"/>
    <w:rsid w:val="00767AED"/>
    <w:rsid w:val="007708F6"/>
    <w:rsid w:val="00772A5C"/>
    <w:rsid w:val="007768BF"/>
    <w:rsid w:val="00781A2B"/>
    <w:rsid w:val="00784D1E"/>
    <w:rsid w:val="00786450"/>
    <w:rsid w:val="0079426A"/>
    <w:rsid w:val="007A0AAC"/>
    <w:rsid w:val="007A5AD8"/>
    <w:rsid w:val="007B3195"/>
    <w:rsid w:val="007B5D03"/>
    <w:rsid w:val="007C7BAE"/>
    <w:rsid w:val="007D4614"/>
    <w:rsid w:val="007E2EC7"/>
    <w:rsid w:val="007E6365"/>
    <w:rsid w:val="007F3F0A"/>
    <w:rsid w:val="007F6A80"/>
    <w:rsid w:val="00804D70"/>
    <w:rsid w:val="00806B73"/>
    <w:rsid w:val="008133FF"/>
    <w:rsid w:val="0081424A"/>
    <w:rsid w:val="00816499"/>
    <w:rsid w:val="0082056F"/>
    <w:rsid w:val="00822FC1"/>
    <w:rsid w:val="00826E89"/>
    <w:rsid w:val="00833001"/>
    <w:rsid w:val="00841E45"/>
    <w:rsid w:val="00845E07"/>
    <w:rsid w:val="00850373"/>
    <w:rsid w:val="008526BC"/>
    <w:rsid w:val="008547D7"/>
    <w:rsid w:val="00856814"/>
    <w:rsid w:val="0087085A"/>
    <w:rsid w:val="00872C12"/>
    <w:rsid w:val="00877357"/>
    <w:rsid w:val="00885022"/>
    <w:rsid w:val="00894676"/>
    <w:rsid w:val="00897375"/>
    <w:rsid w:val="008A1345"/>
    <w:rsid w:val="008A36F0"/>
    <w:rsid w:val="008A70F8"/>
    <w:rsid w:val="008B0A70"/>
    <w:rsid w:val="008B1125"/>
    <w:rsid w:val="008B1F68"/>
    <w:rsid w:val="008C5982"/>
    <w:rsid w:val="008E139E"/>
    <w:rsid w:val="008E22BF"/>
    <w:rsid w:val="008E74C8"/>
    <w:rsid w:val="008E7CD9"/>
    <w:rsid w:val="008F086C"/>
    <w:rsid w:val="008F30D4"/>
    <w:rsid w:val="0091172B"/>
    <w:rsid w:val="009176FE"/>
    <w:rsid w:val="00920AA0"/>
    <w:rsid w:val="00931D5A"/>
    <w:rsid w:val="00934404"/>
    <w:rsid w:val="00937DC3"/>
    <w:rsid w:val="0094150E"/>
    <w:rsid w:val="009441F0"/>
    <w:rsid w:val="00944BDC"/>
    <w:rsid w:val="00950C38"/>
    <w:rsid w:val="0095256D"/>
    <w:rsid w:val="00963795"/>
    <w:rsid w:val="00967F07"/>
    <w:rsid w:val="00972103"/>
    <w:rsid w:val="00983D50"/>
    <w:rsid w:val="00983FA8"/>
    <w:rsid w:val="00984032"/>
    <w:rsid w:val="00996C2E"/>
    <w:rsid w:val="009973E9"/>
    <w:rsid w:val="009A0D5E"/>
    <w:rsid w:val="009A345B"/>
    <w:rsid w:val="009A48F5"/>
    <w:rsid w:val="009B3F8F"/>
    <w:rsid w:val="009B760D"/>
    <w:rsid w:val="009C5C4C"/>
    <w:rsid w:val="009D268B"/>
    <w:rsid w:val="009E4A10"/>
    <w:rsid w:val="009E641D"/>
    <w:rsid w:val="009F107A"/>
    <w:rsid w:val="009F2EB2"/>
    <w:rsid w:val="009F7F81"/>
    <w:rsid w:val="00A03AD2"/>
    <w:rsid w:val="00A05718"/>
    <w:rsid w:val="00A07AE7"/>
    <w:rsid w:val="00A07FD8"/>
    <w:rsid w:val="00A101DB"/>
    <w:rsid w:val="00A1279E"/>
    <w:rsid w:val="00A1313F"/>
    <w:rsid w:val="00A14BEE"/>
    <w:rsid w:val="00A15016"/>
    <w:rsid w:val="00A17820"/>
    <w:rsid w:val="00A26950"/>
    <w:rsid w:val="00A333E8"/>
    <w:rsid w:val="00A341B0"/>
    <w:rsid w:val="00A40C6E"/>
    <w:rsid w:val="00A43590"/>
    <w:rsid w:val="00A5499D"/>
    <w:rsid w:val="00A57327"/>
    <w:rsid w:val="00A610CF"/>
    <w:rsid w:val="00A65AC2"/>
    <w:rsid w:val="00A675D1"/>
    <w:rsid w:val="00A77F24"/>
    <w:rsid w:val="00A8217C"/>
    <w:rsid w:val="00A85EDE"/>
    <w:rsid w:val="00A91822"/>
    <w:rsid w:val="00A92D48"/>
    <w:rsid w:val="00A93D2C"/>
    <w:rsid w:val="00AA2568"/>
    <w:rsid w:val="00AA6C82"/>
    <w:rsid w:val="00AB6872"/>
    <w:rsid w:val="00AC14CC"/>
    <w:rsid w:val="00AC1A8E"/>
    <w:rsid w:val="00AC5AC7"/>
    <w:rsid w:val="00AD14B8"/>
    <w:rsid w:val="00AD22F6"/>
    <w:rsid w:val="00AD64C7"/>
    <w:rsid w:val="00AE1B32"/>
    <w:rsid w:val="00AF465A"/>
    <w:rsid w:val="00B0601E"/>
    <w:rsid w:val="00B0693F"/>
    <w:rsid w:val="00B14DF1"/>
    <w:rsid w:val="00B16538"/>
    <w:rsid w:val="00B20D0D"/>
    <w:rsid w:val="00B229FF"/>
    <w:rsid w:val="00B30A0C"/>
    <w:rsid w:val="00B33B76"/>
    <w:rsid w:val="00B3690C"/>
    <w:rsid w:val="00B37894"/>
    <w:rsid w:val="00B42F7A"/>
    <w:rsid w:val="00B449A6"/>
    <w:rsid w:val="00B473BF"/>
    <w:rsid w:val="00B62CAB"/>
    <w:rsid w:val="00B72148"/>
    <w:rsid w:val="00B73D8B"/>
    <w:rsid w:val="00B762DA"/>
    <w:rsid w:val="00B847BD"/>
    <w:rsid w:val="00B85A57"/>
    <w:rsid w:val="00B85EA7"/>
    <w:rsid w:val="00B8650E"/>
    <w:rsid w:val="00B868A4"/>
    <w:rsid w:val="00B86DC2"/>
    <w:rsid w:val="00B92D24"/>
    <w:rsid w:val="00B94ABA"/>
    <w:rsid w:val="00B94DF0"/>
    <w:rsid w:val="00BA1099"/>
    <w:rsid w:val="00BA7405"/>
    <w:rsid w:val="00BC2147"/>
    <w:rsid w:val="00BC315E"/>
    <w:rsid w:val="00BC49DE"/>
    <w:rsid w:val="00BC73C6"/>
    <w:rsid w:val="00BE2E13"/>
    <w:rsid w:val="00BE3A8E"/>
    <w:rsid w:val="00BE4588"/>
    <w:rsid w:val="00BE629D"/>
    <w:rsid w:val="00BE6346"/>
    <w:rsid w:val="00BE6C6C"/>
    <w:rsid w:val="00BE6EB1"/>
    <w:rsid w:val="00BF62B6"/>
    <w:rsid w:val="00BF70DD"/>
    <w:rsid w:val="00C00B75"/>
    <w:rsid w:val="00C03602"/>
    <w:rsid w:val="00C12875"/>
    <w:rsid w:val="00C203E6"/>
    <w:rsid w:val="00C21698"/>
    <w:rsid w:val="00C22F45"/>
    <w:rsid w:val="00C24152"/>
    <w:rsid w:val="00C36420"/>
    <w:rsid w:val="00C44B2A"/>
    <w:rsid w:val="00C45587"/>
    <w:rsid w:val="00C456D7"/>
    <w:rsid w:val="00C47539"/>
    <w:rsid w:val="00C47F5F"/>
    <w:rsid w:val="00C54A6C"/>
    <w:rsid w:val="00C61D98"/>
    <w:rsid w:val="00C80B12"/>
    <w:rsid w:val="00C80C78"/>
    <w:rsid w:val="00C8211F"/>
    <w:rsid w:val="00C90806"/>
    <w:rsid w:val="00CA4C43"/>
    <w:rsid w:val="00CA61A1"/>
    <w:rsid w:val="00CA71CF"/>
    <w:rsid w:val="00CB1060"/>
    <w:rsid w:val="00CB3082"/>
    <w:rsid w:val="00CB3421"/>
    <w:rsid w:val="00CB4A1A"/>
    <w:rsid w:val="00CB5BA4"/>
    <w:rsid w:val="00CB7655"/>
    <w:rsid w:val="00CC256A"/>
    <w:rsid w:val="00CC6DBF"/>
    <w:rsid w:val="00CD0615"/>
    <w:rsid w:val="00CD1602"/>
    <w:rsid w:val="00CE3553"/>
    <w:rsid w:val="00CE43E3"/>
    <w:rsid w:val="00CF0687"/>
    <w:rsid w:val="00CF0DEB"/>
    <w:rsid w:val="00D040DA"/>
    <w:rsid w:val="00D12606"/>
    <w:rsid w:val="00D1262C"/>
    <w:rsid w:val="00D153A4"/>
    <w:rsid w:val="00D15D06"/>
    <w:rsid w:val="00D27512"/>
    <w:rsid w:val="00D27C10"/>
    <w:rsid w:val="00D342DB"/>
    <w:rsid w:val="00D44527"/>
    <w:rsid w:val="00D452BD"/>
    <w:rsid w:val="00D51123"/>
    <w:rsid w:val="00D53375"/>
    <w:rsid w:val="00D54102"/>
    <w:rsid w:val="00D5594A"/>
    <w:rsid w:val="00D56CF5"/>
    <w:rsid w:val="00D602A9"/>
    <w:rsid w:val="00D617FD"/>
    <w:rsid w:val="00D64A2F"/>
    <w:rsid w:val="00D660B6"/>
    <w:rsid w:val="00D74B16"/>
    <w:rsid w:val="00D74EB3"/>
    <w:rsid w:val="00D85D7E"/>
    <w:rsid w:val="00D86311"/>
    <w:rsid w:val="00D87F4B"/>
    <w:rsid w:val="00D903EE"/>
    <w:rsid w:val="00D91CA3"/>
    <w:rsid w:val="00D91DA1"/>
    <w:rsid w:val="00D9418D"/>
    <w:rsid w:val="00DA1D04"/>
    <w:rsid w:val="00DA6B56"/>
    <w:rsid w:val="00DA7ADE"/>
    <w:rsid w:val="00DB2844"/>
    <w:rsid w:val="00DB4118"/>
    <w:rsid w:val="00DB70B7"/>
    <w:rsid w:val="00DB72F2"/>
    <w:rsid w:val="00DC1B63"/>
    <w:rsid w:val="00DC37AF"/>
    <w:rsid w:val="00DD1D34"/>
    <w:rsid w:val="00DE1DCF"/>
    <w:rsid w:val="00DE477D"/>
    <w:rsid w:val="00DE594B"/>
    <w:rsid w:val="00DF01D5"/>
    <w:rsid w:val="00DF0B81"/>
    <w:rsid w:val="00DF2A57"/>
    <w:rsid w:val="00E0523B"/>
    <w:rsid w:val="00E07BF3"/>
    <w:rsid w:val="00E16660"/>
    <w:rsid w:val="00E24B8D"/>
    <w:rsid w:val="00E4672F"/>
    <w:rsid w:val="00E51C15"/>
    <w:rsid w:val="00E55B9A"/>
    <w:rsid w:val="00E56811"/>
    <w:rsid w:val="00E572CC"/>
    <w:rsid w:val="00E62C31"/>
    <w:rsid w:val="00E65021"/>
    <w:rsid w:val="00E70DB3"/>
    <w:rsid w:val="00E722A4"/>
    <w:rsid w:val="00E83268"/>
    <w:rsid w:val="00E83F6E"/>
    <w:rsid w:val="00EA3B89"/>
    <w:rsid w:val="00EA4A51"/>
    <w:rsid w:val="00EA7A44"/>
    <w:rsid w:val="00EC25F7"/>
    <w:rsid w:val="00EC5DBD"/>
    <w:rsid w:val="00EC7BDF"/>
    <w:rsid w:val="00ED005C"/>
    <w:rsid w:val="00ED04C4"/>
    <w:rsid w:val="00EE0BEE"/>
    <w:rsid w:val="00EF2935"/>
    <w:rsid w:val="00EF2B0B"/>
    <w:rsid w:val="00EF4133"/>
    <w:rsid w:val="00EF4833"/>
    <w:rsid w:val="00EF7D3F"/>
    <w:rsid w:val="00F035E2"/>
    <w:rsid w:val="00F05BA6"/>
    <w:rsid w:val="00F21A85"/>
    <w:rsid w:val="00F36AC4"/>
    <w:rsid w:val="00F60DA1"/>
    <w:rsid w:val="00F62F1A"/>
    <w:rsid w:val="00F644DA"/>
    <w:rsid w:val="00F67D6E"/>
    <w:rsid w:val="00F87B5F"/>
    <w:rsid w:val="00F91968"/>
    <w:rsid w:val="00FB3362"/>
    <w:rsid w:val="00FB3983"/>
    <w:rsid w:val="00FB4166"/>
    <w:rsid w:val="00FB635E"/>
    <w:rsid w:val="00FC4F93"/>
    <w:rsid w:val="00FD136F"/>
    <w:rsid w:val="00FD3B4A"/>
    <w:rsid w:val="00FE2FCF"/>
    <w:rsid w:val="00FF67C2"/>
    <w:rsid w:val="018AAC0F"/>
    <w:rsid w:val="05D880D7"/>
    <w:rsid w:val="0AD23645"/>
    <w:rsid w:val="0B516214"/>
    <w:rsid w:val="0D3B02FC"/>
    <w:rsid w:val="1369CA59"/>
    <w:rsid w:val="184128B0"/>
    <w:rsid w:val="19024463"/>
    <w:rsid w:val="1B11E67F"/>
    <w:rsid w:val="2070BE41"/>
    <w:rsid w:val="248142D2"/>
    <w:rsid w:val="26E1C011"/>
    <w:rsid w:val="2B3798FD"/>
    <w:rsid w:val="2D29156B"/>
    <w:rsid w:val="303CA7A4"/>
    <w:rsid w:val="38222317"/>
    <w:rsid w:val="3C415919"/>
    <w:rsid w:val="3D505C9E"/>
    <w:rsid w:val="43974A9D"/>
    <w:rsid w:val="47DD1A1C"/>
    <w:rsid w:val="49B87441"/>
    <w:rsid w:val="509193E4"/>
    <w:rsid w:val="5196E97C"/>
    <w:rsid w:val="533AE68A"/>
    <w:rsid w:val="549130F6"/>
    <w:rsid w:val="5EB9B774"/>
    <w:rsid w:val="5F1808F2"/>
    <w:rsid w:val="609EFF57"/>
    <w:rsid w:val="624A553C"/>
    <w:rsid w:val="63E7CB78"/>
    <w:rsid w:val="703D02E0"/>
    <w:rsid w:val="711FAF27"/>
    <w:rsid w:val="71E47D60"/>
    <w:rsid w:val="7ACFA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CE22A"/>
  <w15:docId w15:val="{F66B0AA2-E644-4F25-84F4-BC53A1A0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05"/>
    <w:rPr>
      <w:sz w:val="24"/>
      <w:szCs w:val="24"/>
    </w:rPr>
  </w:style>
  <w:style w:type="paragraph" w:styleId="Heading1">
    <w:name w:val="heading 1"/>
    <w:basedOn w:val="Normal"/>
    <w:next w:val="Normal"/>
    <w:link w:val="Heading1Char"/>
    <w:qFormat/>
    <w:rsid w:val="000F0305"/>
    <w:pPr>
      <w:keepNext/>
      <w:numPr>
        <w:numId w:val="14"/>
      </w:numPr>
      <w:spacing w:after="240"/>
      <w:outlineLvl w:val="0"/>
    </w:pPr>
    <w:rPr>
      <w:rFonts w:cs="Arial"/>
      <w:b/>
      <w:bCs/>
      <w:caps/>
    </w:rPr>
  </w:style>
  <w:style w:type="paragraph" w:styleId="Heading2">
    <w:name w:val="heading 2"/>
    <w:basedOn w:val="Heading1"/>
    <w:next w:val="Normal"/>
    <w:link w:val="Heading2Char"/>
    <w:qFormat/>
    <w:rsid w:val="000F0305"/>
    <w:pPr>
      <w:numPr>
        <w:ilvl w:val="1"/>
      </w:numPr>
      <w:outlineLvl w:val="1"/>
    </w:pPr>
    <w:rPr>
      <w:bCs w:val="0"/>
      <w:iCs/>
    </w:rPr>
  </w:style>
  <w:style w:type="paragraph" w:styleId="Heading3">
    <w:name w:val="heading 3"/>
    <w:basedOn w:val="Heading2"/>
    <w:next w:val="BodyText"/>
    <w:link w:val="Heading3Char"/>
    <w:qFormat/>
    <w:rsid w:val="000F0305"/>
    <w:pPr>
      <w:numPr>
        <w:ilvl w:val="2"/>
      </w:numPr>
      <w:outlineLvl w:val="2"/>
    </w:pPr>
    <w:rPr>
      <w:bCs/>
    </w:rPr>
  </w:style>
  <w:style w:type="paragraph" w:styleId="Heading4">
    <w:name w:val="heading 4"/>
    <w:basedOn w:val="Normal"/>
    <w:next w:val="Normal"/>
    <w:link w:val="Heading4Char"/>
    <w:qFormat/>
    <w:rsid w:val="000F0305"/>
    <w:pPr>
      <w:numPr>
        <w:ilvl w:val="3"/>
        <w:numId w:val="20"/>
      </w:numPr>
      <w:spacing w:after="120"/>
      <w:outlineLvl w:val="3"/>
    </w:pPr>
    <w:rPr>
      <w:rFonts w:ascii="Arial" w:hAnsi="Arial"/>
      <w:b/>
    </w:rPr>
  </w:style>
  <w:style w:type="paragraph" w:styleId="Heading5">
    <w:name w:val="heading 5"/>
    <w:basedOn w:val="Normal"/>
    <w:next w:val="Normal"/>
    <w:link w:val="Heading5Char"/>
    <w:qFormat/>
    <w:rsid w:val="000F0305"/>
    <w:pPr>
      <w:numPr>
        <w:ilvl w:val="4"/>
        <w:numId w:val="20"/>
      </w:numPr>
      <w:spacing w:after="120"/>
      <w:outlineLvl w:val="4"/>
    </w:pPr>
    <w:rPr>
      <w:rFonts w:ascii="Arial" w:hAnsi="Arial"/>
      <w:b/>
    </w:rPr>
  </w:style>
  <w:style w:type="paragraph" w:styleId="Heading6">
    <w:name w:val="heading 6"/>
    <w:basedOn w:val="Normal"/>
    <w:next w:val="Normal"/>
    <w:link w:val="Heading6Char"/>
    <w:qFormat/>
    <w:rsid w:val="000F0305"/>
    <w:pPr>
      <w:numPr>
        <w:ilvl w:val="5"/>
        <w:numId w:val="20"/>
      </w:numPr>
      <w:spacing w:after="120"/>
      <w:outlineLvl w:val="5"/>
    </w:pPr>
    <w:rPr>
      <w:rFonts w:ascii="Arial" w:hAnsi="Arial"/>
      <w:b/>
    </w:rPr>
  </w:style>
  <w:style w:type="paragraph" w:styleId="Heading7">
    <w:name w:val="heading 7"/>
    <w:basedOn w:val="Normal"/>
    <w:next w:val="Normal"/>
    <w:link w:val="Heading7Char"/>
    <w:qFormat/>
    <w:rsid w:val="000F0305"/>
    <w:pPr>
      <w:numPr>
        <w:ilvl w:val="6"/>
        <w:numId w:val="20"/>
      </w:numPr>
      <w:spacing w:after="120"/>
      <w:outlineLvl w:val="6"/>
    </w:pPr>
    <w:rPr>
      <w:rFonts w:ascii="Arial" w:hAnsi="Arial"/>
      <w:b/>
    </w:rPr>
  </w:style>
  <w:style w:type="paragraph" w:styleId="Heading8">
    <w:name w:val="heading 8"/>
    <w:basedOn w:val="Normal"/>
    <w:next w:val="Normal"/>
    <w:link w:val="Heading8Char"/>
    <w:qFormat/>
    <w:rsid w:val="000F0305"/>
    <w:pPr>
      <w:numPr>
        <w:ilvl w:val="7"/>
        <w:numId w:val="20"/>
      </w:numPr>
      <w:spacing w:after="120"/>
      <w:outlineLvl w:val="7"/>
    </w:pPr>
    <w:rPr>
      <w:rFonts w:ascii="Arial" w:hAnsi="Arial"/>
      <w:b/>
    </w:rPr>
  </w:style>
  <w:style w:type="paragraph" w:styleId="Heading9">
    <w:name w:val="heading 9"/>
    <w:basedOn w:val="Normal"/>
    <w:next w:val="Normal"/>
    <w:link w:val="Heading9Char"/>
    <w:qFormat/>
    <w:rsid w:val="000F0305"/>
    <w:pPr>
      <w:numPr>
        <w:ilvl w:val="8"/>
        <w:numId w:val="20"/>
      </w:numPr>
      <w:spacing w:after="12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305"/>
    <w:rPr>
      <w:rFonts w:ascii="Tahoma" w:hAnsi="Tahoma" w:cs="Tahoma"/>
      <w:sz w:val="16"/>
      <w:szCs w:val="16"/>
    </w:rPr>
  </w:style>
  <w:style w:type="character" w:styleId="CommentReference">
    <w:name w:val="annotation reference"/>
    <w:uiPriority w:val="99"/>
    <w:semiHidden/>
    <w:rsid w:val="000F0305"/>
    <w:rPr>
      <w:sz w:val="16"/>
      <w:szCs w:val="16"/>
    </w:rPr>
  </w:style>
  <w:style w:type="paragraph" w:styleId="CommentText">
    <w:name w:val="annotation text"/>
    <w:basedOn w:val="Normal"/>
    <w:link w:val="CommentTextChar"/>
    <w:uiPriority w:val="99"/>
    <w:rsid w:val="000F0305"/>
  </w:style>
  <w:style w:type="paragraph" w:styleId="CommentSubject">
    <w:name w:val="annotation subject"/>
    <w:basedOn w:val="CommentText"/>
    <w:next w:val="CommentText"/>
    <w:semiHidden/>
    <w:rsid w:val="00310377"/>
    <w:rPr>
      <w:b/>
      <w:bCs/>
    </w:rPr>
  </w:style>
  <w:style w:type="paragraph" w:customStyle="1" w:styleId="ODOTSpecs">
    <w:name w:val="ODOT Specs"/>
    <w:rsid w:val="000F03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jc w:val="both"/>
    </w:pPr>
    <w:rPr>
      <w:sz w:val="24"/>
      <w:szCs w:val="24"/>
    </w:rPr>
  </w:style>
  <w:style w:type="character" w:styleId="PageNumber">
    <w:name w:val="page number"/>
    <w:rsid w:val="00320B9E"/>
    <w:rPr>
      <w:rFonts w:ascii="Times New Roman" w:hAnsi="Times New Roman"/>
      <w:sz w:val="24"/>
    </w:rPr>
  </w:style>
  <w:style w:type="paragraph" w:styleId="Footer">
    <w:name w:val="footer"/>
    <w:basedOn w:val="Normal"/>
    <w:link w:val="FooterChar"/>
    <w:autoRedefine/>
    <w:rsid w:val="00320B9E"/>
    <w:pPr>
      <w:tabs>
        <w:tab w:val="center" w:pos="4680"/>
        <w:tab w:val="right" w:pos="9360"/>
      </w:tabs>
    </w:pPr>
  </w:style>
  <w:style w:type="paragraph" w:styleId="BodyText">
    <w:name w:val="Body Text"/>
    <w:basedOn w:val="Normal"/>
    <w:link w:val="BodyTextChar"/>
    <w:uiPriority w:val="99"/>
    <w:unhideWhenUsed/>
    <w:rsid w:val="000F0305"/>
    <w:pPr>
      <w:spacing w:after="120"/>
    </w:pPr>
  </w:style>
  <w:style w:type="paragraph" w:customStyle="1" w:styleId="1Indent1Paragraph">
    <w:name w:val="1 Indent 1 Paragraph"/>
    <w:basedOn w:val="ODOTSpecs"/>
    <w:rsid w:val="000F0305"/>
  </w:style>
  <w:style w:type="paragraph" w:customStyle="1" w:styleId="1Indent2Paragraph">
    <w:name w:val="1 Indent 2 Paragraph"/>
    <w:basedOn w:val="ODOTSpecs"/>
    <w:rsid w:val="000F0305"/>
    <w:pPr>
      <w:ind w:firstLine="432"/>
    </w:pPr>
  </w:style>
  <w:style w:type="paragraph" w:customStyle="1" w:styleId="1IndentList">
    <w:name w:val="1 Indent List"/>
    <w:basedOn w:val="ODOTSpecs"/>
    <w:rsid w:val="000F0305"/>
    <w:pPr>
      <w:spacing w:after="0"/>
      <w:ind w:left="1296" w:hanging="432"/>
    </w:pPr>
  </w:style>
  <w:style w:type="paragraph" w:customStyle="1" w:styleId="2Indent1Paragraph">
    <w:name w:val="2 Indent 1 Paragraph"/>
    <w:basedOn w:val="ODOTSpecs"/>
    <w:rsid w:val="000F0305"/>
    <w:pPr>
      <w:ind w:firstLine="432"/>
    </w:pPr>
  </w:style>
  <w:style w:type="paragraph" w:customStyle="1" w:styleId="2Indent2Paragraph">
    <w:name w:val="2 Indent 2 Paragraph"/>
    <w:basedOn w:val="ODOTSpecs"/>
    <w:rsid w:val="000F0305"/>
    <w:pPr>
      <w:ind w:firstLine="864"/>
    </w:pPr>
  </w:style>
  <w:style w:type="paragraph" w:customStyle="1" w:styleId="2IndentList">
    <w:name w:val="2 Indent List"/>
    <w:basedOn w:val="ODOTSpecs"/>
    <w:rsid w:val="000F0305"/>
    <w:pPr>
      <w:spacing w:after="0"/>
      <w:ind w:left="1728" w:hanging="432"/>
    </w:pPr>
  </w:style>
  <w:style w:type="paragraph" w:customStyle="1" w:styleId="3Indent1Paragraph">
    <w:name w:val="3 Indent 1 Paragraph"/>
    <w:basedOn w:val="ODOTSpecs"/>
    <w:rsid w:val="000F0305"/>
    <w:pPr>
      <w:ind w:firstLine="864"/>
    </w:pPr>
  </w:style>
  <w:style w:type="paragraph" w:customStyle="1" w:styleId="3Indent2Paragraph">
    <w:name w:val="3 Indent 2 Paragraph"/>
    <w:basedOn w:val="ODOTSpecs"/>
    <w:rsid w:val="000F0305"/>
    <w:pPr>
      <w:ind w:firstLine="1296"/>
    </w:pPr>
  </w:style>
  <w:style w:type="paragraph" w:customStyle="1" w:styleId="3IndentList">
    <w:name w:val="3 Indent List"/>
    <w:basedOn w:val="ODOTSpecs"/>
    <w:rsid w:val="000F0305"/>
    <w:pPr>
      <w:spacing w:after="0"/>
      <w:ind w:left="2160" w:hanging="432"/>
    </w:pPr>
  </w:style>
  <w:style w:type="paragraph" w:customStyle="1" w:styleId="4Indent1Paragraph">
    <w:name w:val="4 Indent 1 Paragraph"/>
    <w:basedOn w:val="ODOTSpecs"/>
    <w:rsid w:val="000F0305"/>
    <w:pPr>
      <w:ind w:firstLine="1296"/>
    </w:pPr>
  </w:style>
  <w:style w:type="paragraph" w:customStyle="1" w:styleId="4Indent2Paragraph">
    <w:name w:val="4 Indent 2 Paragraph"/>
    <w:basedOn w:val="ODOTSpecs"/>
    <w:rsid w:val="000F0305"/>
    <w:pPr>
      <w:ind w:firstLine="1728"/>
    </w:pPr>
  </w:style>
  <w:style w:type="paragraph" w:customStyle="1" w:styleId="4IndentList">
    <w:name w:val="4 Indent List"/>
    <w:basedOn w:val="ODOTSpecs"/>
    <w:rsid w:val="000F0305"/>
    <w:pPr>
      <w:spacing w:after="0"/>
      <w:ind w:left="1296" w:hanging="432"/>
    </w:pPr>
  </w:style>
  <w:style w:type="paragraph" w:customStyle="1" w:styleId="5Indent1Paragraph">
    <w:name w:val="5 Indent 1 Paragraph"/>
    <w:basedOn w:val="ODOTSpecs"/>
    <w:rsid w:val="000F0305"/>
    <w:pPr>
      <w:ind w:firstLine="1728"/>
    </w:pPr>
  </w:style>
  <w:style w:type="paragraph" w:customStyle="1" w:styleId="5Indent2Paragraph">
    <w:name w:val="5 Indent 2 Paragraph"/>
    <w:basedOn w:val="ODOTSpecs"/>
    <w:rsid w:val="000F0305"/>
    <w:pPr>
      <w:ind w:firstLine="2160"/>
    </w:pPr>
  </w:style>
  <w:style w:type="paragraph" w:customStyle="1" w:styleId="5IndentList">
    <w:name w:val="5 Indent List"/>
    <w:basedOn w:val="ODOTSpecs"/>
    <w:rsid w:val="000F0305"/>
    <w:pPr>
      <w:spacing w:after="0"/>
      <w:ind w:left="576" w:firstLine="288"/>
    </w:pPr>
  </w:style>
  <w:style w:type="paragraph" w:customStyle="1" w:styleId="Abbreviation">
    <w:name w:val="Abbreviation"/>
    <w:basedOn w:val="ODOTSpecs"/>
    <w:rsid w:val="000F0305"/>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style>
  <w:style w:type="paragraph" w:customStyle="1" w:styleId="BlankLine">
    <w:name w:val="Blank Line"/>
    <w:basedOn w:val="ODOTSpecs"/>
    <w:rsid w:val="000F0305"/>
    <w:pPr>
      <w:spacing w:after="0"/>
    </w:pPr>
  </w:style>
  <w:style w:type="paragraph" w:customStyle="1" w:styleId="Definition">
    <w:name w:val="Definition"/>
    <w:basedOn w:val="ODOTSpecs"/>
    <w:autoRedefine/>
    <w:rsid w:val="000F0305"/>
    <w:pPr>
      <w:tabs>
        <w:tab w:val="left" w:pos="3960"/>
      </w:tabs>
      <w:ind w:firstLine="216"/>
    </w:pPr>
    <w:rPr>
      <w:bCs/>
    </w:rPr>
  </w:style>
  <w:style w:type="paragraph" w:customStyle="1" w:styleId="Division">
    <w:name w:val="Division"/>
    <w:basedOn w:val="ODOTSpecs"/>
    <w:rsid w:val="000F0305"/>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rPr>
  </w:style>
  <w:style w:type="paragraph" w:styleId="DocumentMap">
    <w:name w:val="Document Map"/>
    <w:basedOn w:val="Normal"/>
    <w:link w:val="DocumentMapChar"/>
    <w:semiHidden/>
    <w:rsid w:val="000F0305"/>
    <w:pPr>
      <w:shd w:val="clear" w:color="auto" w:fill="000080"/>
    </w:pPr>
    <w:rPr>
      <w:rFonts w:ascii="Tahoma" w:hAnsi="Tahoma" w:cs="Tahoma"/>
    </w:rPr>
  </w:style>
  <w:style w:type="character" w:customStyle="1" w:styleId="DocumentMapChar">
    <w:name w:val="Document Map Char"/>
    <w:link w:val="DocumentMap"/>
    <w:semiHidden/>
    <w:rsid w:val="003532BD"/>
    <w:rPr>
      <w:rFonts w:ascii="Tahoma" w:hAnsi="Tahoma" w:cs="Tahoma"/>
      <w:sz w:val="24"/>
      <w:szCs w:val="24"/>
      <w:shd w:val="clear" w:color="auto" w:fill="000080"/>
    </w:rPr>
  </w:style>
  <w:style w:type="paragraph" w:customStyle="1" w:styleId="Equationlist">
    <w:name w:val="Equation list"/>
    <w:basedOn w:val="ODOTSpecs"/>
    <w:rsid w:val="000F0305"/>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paragraph" w:customStyle="1" w:styleId="EquationText">
    <w:name w:val="Equation Text"/>
    <w:basedOn w:val="ODOTSpecs"/>
    <w:rsid w:val="000F0305"/>
    <w:pPr>
      <w:spacing w:after="0"/>
      <w:jc w:val="center"/>
    </w:pPr>
    <w:rPr>
      <w:rFonts w:ascii="Arial" w:hAnsi="Arial"/>
    </w:rPr>
  </w:style>
  <w:style w:type="character" w:customStyle="1" w:styleId="Heading1Char">
    <w:name w:val="Heading 1 Char"/>
    <w:link w:val="Heading1"/>
    <w:rsid w:val="003532BD"/>
    <w:rPr>
      <w:rFonts w:cs="Arial"/>
      <w:b/>
      <w:bCs/>
      <w:caps/>
      <w:sz w:val="24"/>
      <w:szCs w:val="24"/>
    </w:rPr>
  </w:style>
  <w:style w:type="character" w:customStyle="1" w:styleId="Heading2Char">
    <w:name w:val="Heading 2 Char"/>
    <w:link w:val="Heading2"/>
    <w:rsid w:val="003532BD"/>
    <w:rPr>
      <w:rFonts w:cs="Arial"/>
      <w:b/>
      <w:iCs/>
      <w:caps/>
      <w:sz w:val="24"/>
      <w:szCs w:val="24"/>
    </w:rPr>
  </w:style>
  <w:style w:type="character" w:customStyle="1" w:styleId="Heading3Char">
    <w:name w:val="Heading 3 Char"/>
    <w:link w:val="Heading3"/>
    <w:rsid w:val="003532BD"/>
    <w:rPr>
      <w:rFonts w:cs="Arial"/>
      <w:b/>
      <w:bCs/>
      <w:iCs/>
      <w:caps/>
      <w:sz w:val="24"/>
      <w:szCs w:val="24"/>
    </w:rPr>
  </w:style>
  <w:style w:type="character" w:customStyle="1" w:styleId="Heading4Char">
    <w:name w:val="Heading 4 Char"/>
    <w:link w:val="Heading4"/>
    <w:rsid w:val="003532BD"/>
    <w:rPr>
      <w:rFonts w:ascii="Arial" w:hAnsi="Arial"/>
      <w:b/>
      <w:sz w:val="24"/>
      <w:szCs w:val="24"/>
    </w:rPr>
  </w:style>
  <w:style w:type="character" w:customStyle="1" w:styleId="Heading5Char">
    <w:name w:val="Heading 5 Char"/>
    <w:link w:val="Heading5"/>
    <w:rsid w:val="003532BD"/>
    <w:rPr>
      <w:rFonts w:ascii="Arial" w:hAnsi="Arial"/>
      <w:b/>
      <w:sz w:val="24"/>
      <w:szCs w:val="24"/>
    </w:rPr>
  </w:style>
  <w:style w:type="character" w:customStyle="1" w:styleId="Heading6Char">
    <w:name w:val="Heading 6 Char"/>
    <w:link w:val="Heading6"/>
    <w:rsid w:val="003532BD"/>
    <w:rPr>
      <w:rFonts w:ascii="Arial" w:hAnsi="Arial"/>
      <w:b/>
      <w:sz w:val="24"/>
      <w:szCs w:val="24"/>
    </w:rPr>
  </w:style>
  <w:style w:type="character" w:customStyle="1" w:styleId="Heading7Char">
    <w:name w:val="Heading 7 Char"/>
    <w:link w:val="Heading7"/>
    <w:rsid w:val="003532BD"/>
    <w:rPr>
      <w:rFonts w:ascii="Arial" w:hAnsi="Arial"/>
      <w:b/>
      <w:sz w:val="24"/>
      <w:szCs w:val="24"/>
    </w:rPr>
  </w:style>
  <w:style w:type="character" w:customStyle="1" w:styleId="Heading8Char">
    <w:name w:val="Heading 8 Char"/>
    <w:link w:val="Heading8"/>
    <w:rsid w:val="003532BD"/>
    <w:rPr>
      <w:rFonts w:ascii="Arial" w:hAnsi="Arial"/>
      <w:b/>
      <w:sz w:val="24"/>
      <w:szCs w:val="24"/>
    </w:rPr>
  </w:style>
  <w:style w:type="character" w:customStyle="1" w:styleId="Heading9Char">
    <w:name w:val="Heading 9 Char"/>
    <w:link w:val="Heading9"/>
    <w:rsid w:val="003532BD"/>
    <w:rPr>
      <w:rFonts w:ascii="Arial" w:hAnsi="Arial"/>
      <w:b/>
      <w:sz w:val="24"/>
      <w:szCs w:val="24"/>
    </w:rPr>
  </w:style>
  <w:style w:type="paragraph" w:styleId="Index1">
    <w:name w:val="index 1"/>
    <w:basedOn w:val="Normal"/>
    <w:next w:val="Normal"/>
    <w:autoRedefine/>
    <w:semiHidden/>
    <w:rsid w:val="000F0305"/>
    <w:pPr>
      <w:widowControl w:val="0"/>
      <w:tabs>
        <w:tab w:val="right" w:pos="5030"/>
      </w:tabs>
      <w:ind w:left="202" w:hanging="202"/>
    </w:pPr>
    <w:rPr>
      <w:noProof/>
      <w:sz w:val="18"/>
    </w:rPr>
  </w:style>
  <w:style w:type="paragraph" w:styleId="Index2">
    <w:name w:val="index 2"/>
    <w:basedOn w:val="Normal"/>
    <w:next w:val="Normal"/>
    <w:autoRedefine/>
    <w:semiHidden/>
    <w:rsid w:val="000F0305"/>
    <w:pPr>
      <w:tabs>
        <w:tab w:val="right" w:pos="5030"/>
      </w:tabs>
      <w:ind w:left="400" w:hanging="200"/>
    </w:pPr>
    <w:rPr>
      <w:noProof/>
      <w:sz w:val="18"/>
    </w:rPr>
  </w:style>
  <w:style w:type="paragraph" w:styleId="IndexHeading">
    <w:name w:val="index heading"/>
    <w:basedOn w:val="Normal"/>
    <w:next w:val="Index1"/>
    <w:semiHidden/>
    <w:rsid w:val="000F0305"/>
    <w:pPr>
      <w:spacing w:before="120" w:after="120"/>
    </w:pPr>
    <w:rPr>
      <w:b/>
      <w:bCs/>
      <w:i/>
      <w:iCs/>
    </w:rPr>
  </w:style>
  <w:style w:type="paragraph" w:customStyle="1" w:styleId="MaterialList">
    <w:name w:val="Material List"/>
    <w:basedOn w:val="ODOTSpecs"/>
    <w:rsid w:val="000F0305"/>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6660"/>
      </w:tabs>
      <w:spacing w:after="0"/>
      <w:ind w:left="648" w:hanging="216"/>
    </w:pPr>
  </w:style>
  <w:style w:type="paragraph" w:customStyle="1" w:styleId="MaterialsListNote">
    <w:name w:val="Materials List Note"/>
    <w:basedOn w:val="ODOTSpecs"/>
    <w:rsid w:val="000F0305"/>
    <w:pPr>
      <w:spacing w:before="100"/>
      <w:ind w:left="864" w:right="648" w:hanging="216"/>
    </w:pPr>
  </w:style>
  <w:style w:type="paragraph" w:customStyle="1" w:styleId="PayItemPayUnit">
    <w:name w:val="Pay Item/Pay Unit"/>
    <w:basedOn w:val="ODOTSpecs"/>
    <w:rsid w:val="000F0305"/>
    <w:pPr>
      <w:tabs>
        <w:tab w:val="clear" w:pos="432"/>
        <w:tab w:val="clear" w:pos="864"/>
        <w:tab w:val="clear" w:pos="1296"/>
        <w:tab w:val="clear" w:pos="1728"/>
        <w:tab w:val="clear" w:pos="2160"/>
        <w:tab w:val="clear" w:pos="2592"/>
        <w:tab w:val="clear" w:pos="3456"/>
        <w:tab w:val="clear" w:pos="3888"/>
        <w:tab w:val="clear" w:pos="4320"/>
        <w:tab w:val="clear" w:pos="4752"/>
        <w:tab w:val="left" w:pos="1080"/>
        <w:tab w:val="left" w:pos="1224"/>
        <w:tab w:val="left" w:pos="2880"/>
      </w:tabs>
      <w:spacing w:after="0"/>
      <w:ind w:left="216"/>
      <w:jc w:val="left"/>
    </w:pPr>
  </w:style>
  <w:style w:type="paragraph" w:customStyle="1" w:styleId="PayItemPayUnitTitle">
    <w:name w:val="Pay Item/Pay Unit Title"/>
    <w:basedOn w:val="ODOTSpecs"/>
    <w:rsid w:val="000F0305"/>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 w:val="left" w:pos="2880"/>
      </w:tabs>
      <w:ind w:left="216"/>
    </w:pPr>
    <w:rPr>
      <w:b/>
    </w:rPr>
  </w:style>
  <w:style w:type="paragraph" w:customStyle="1" w:styleId="Section">
    <w:name w:val="Section"/>
    <w:basedOn w:val="ODOTSpecs"/>
    <w:rsid w:val="000F0305"/>
    <w:pPr>
      <w:keepNext/>
      <w:spacing w:before="400"/>
      <w:jc w:val="center"/>
    </w:pPr>
    <w:rPr>
      <w:b/>
      <w:caps/>
    </w:rPr>
  </w:style>
  <w:style w:type="character" w:customStyle="1" w:styleId="BodyTextChar">
    <w:name w:val="Body Text Char"/>
    <w:link w:val="BodyText"/>
    <w:uiPriority w:val="99"/>
    <w:rsid w:val="000F0305"/>
    <w:rPr>
      <w:sz w:val="24"/>
      <w:szCs w:val="24"/>
    </w:rPr>
  </w:style>
  <w:style w:type="paragraph" w:customStyle="1" w:styleId="SubsectionParagraphList">
    <w:name w:val="Subsection Paragraph List"/>
    <w:basedOn w:val="ODOTSpecs"/>
    <w:rsid w:val="000F0305"/>
    <w:pPr>
      <w:tabs>
        <w:tab w:val="left" w:pos="648"/>
        <w:tab w:val="left" w:pos="1080"/>
      </w:tabs>
      <w:spacing w:after="0"/>
      <w:ind w:left="864" w:hanging="648"/>
      <w:jc w:val="left"/>
    </w:pPr>
    <w:rPr>
      <w:b/>
    </w:rPr>
  </w:style>
  <w:style w:type="paragraph" w:customStyle="1" w:styleId="SubsectionTitle">
    <w:name w:val="Subsection Title"/>
    <w:basedOn w:val="Normal"/>
    <w:link w:val="SubsectionTitleChar"/>
    <w:qFormat/>
    <w:rsid w:val="000F03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ind w:firstLine="216"/>
      <w:jc w:val="both"/>
    </w:pPr>
    <w:rPr>
      <w:b/>
    </w:rPr>
  </w:style>
  <w:style w:type="paragraph" w:customStyle="1" w:styleId="TableText">
    <w:name w:val="Table Text"/>
    <w:basedOn w:val="ODOTSpecs"/>
    <w:rsid w:val="000F0305"/>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ind w:left="144" w:hanging="144"/>
      <w:jc w:val="left"/>
    </w:pPr>
  </w:style>
  <w:style w:type="paragraph" w:customStyle="1" w:styleId="TableTextNote">
    <w:name w:val="Table Text Note"/>
    <w:basedOn w:val="ODOTSpecs"/>
    <w:rsid w:val="000F0305"/>
    <w:pPr>
      <w:keepNext/>
      <w:tabs>
        <w:tab w:val="clear" w:pos="864"/>
        <w:tab w:val="clear" w:pos="1296"/>
        <w:tab w:val="clear" w:pos="1728"/>
        <w:tab w:val="clear" w:pos="2160"/>
        <w:tab w:val="clear" w:pos="2592"/>
        <w:tab w:val="clear" w:pos="3024"/>
        <w:tab w:val="clear" w:pos="3456"/>
        <w:tab w:val="clear" w:pos="3888"/>
        <w:tab w:val="clear" w:pos="4320"/>
        <w:tab w:val="clear" w:pos="4752"/>
      </w:tabs>
      <w:spacing w:after="0"/>
      <w:ind w:left="288" w:hanging="288"/>
    </w:pPr>
  </w:style>
  <w:style w:type="paragraph" w:customStyle="1" w:styleId="TableTitles">
    <w:name w:val="Table Titles"/>
    <w:basedOn w:val="ODOTSpecs"/>
    <w:rsid w:val="000F0305"/>
    <w:pPr>
      <w:keepNext/>
      <w:jc w:val="center"/>
    </w:pPr>
    <w:rPr>
      <w:b/>
      <w:caps/>
    </w:rPr>
  </w:style>
  <w:style w:type="paragraph" w:styleId="TOC1">
    <w:name w:val="toc 1"/>
    <w:basedOn w:val="SubsectionParagraphList"/>
    <w:next w:val="SubsectionParagraphList"/>
    <w:uiPriority w:val="39"/>
    <w:rsid w:val="003532BD"/>
    <w:rPr>
      <w:noProof/>
    </w:rPr>
  </w:style>
  <w:style w:type="paragraph" w:styleId="TOC2">
    <w:name w:val="toc 2"/>
    <w:basedOn w:val="Normal"/>
    <w:next w:val="Normal"/>
    <w:autoRedefine/>
    <w:semiHidden/>
    <w:rsid w:val="003532BD"/>
    <w:pPr>
      <w:tabs>
        <w:tab w:val="right" w:leader="dot" w:pos="5040"/>
      </w:tabs>
      <w:ind w:left="1080" w:hanging="720"/>
    </w:pPr>
    <w:rPr>
      <w:caps/>
      <w:noProof/>
      <w:sz w:val="18"/>
    </w:rPr>
  </w:style>
  <w:style w:type="character" w:customStyle="1" w:styleId="FooterChar">
    <w:name w:val="Footer Char"/>
    <w:link w:val="Footer"/>
    <w:rsid w:val="00320B9E"/>
    <w:rPr>
      <w:sz w:val="24"/>
      <w:szCs w:val="24"/>
    </w:rPr>
  </w:style>
  <w:style w:type="paragraph" w:styleId="Header">
    <w:name w:val="header"/>
    <w:basedOn w:val="Normal"/>
    <w:link w:val="HeaderChar"/>
    <w:autoRedefine/>
    <w:rsid w:val="00320B9E"/>
    <w:pPr>
      <w:tabs>
        <w:tab w:val="center" w:pos="4320"/>
        <w:tab w:val="right" w:pos="8640"/>
      </w:tabs>
    </w:pPr>
  </w:style>
  <w:style w:type="character" w:customStyle="1" w:styleId="SubsectionTitleChar">
    <w:name w:val="Subsection Title Char"/>
    <w:link w:val="SubsectionTitle"/>
    <w:rsid w:val="000F0305"/>
    <w:rPr>
      <w:b/>
      <w:sz w:val="24"/>
      <w:szCs w:val="24"/>
    </w:rPr>
  </w:style>
  <w:style w:type="paragraph" w:styleId="Revision">
    <w:name w:val="Revision"/>
    <w:hidden/>
    <w:uiPriority w:val="99"/>
    <w:semiHidden/>
    <w:rsid w:val="00323BF6"/>
    <w:rPr>
      <w:sz w:val="24"/>
      <w:szCs w:val="24"/>
    </w:rPr>
  </w:style>
  <w:style w:type="paragraph" w:customStyle="1" w:styleId="SubsectionParagraph">
    <w:name w:val="Subsection Paragraph"/>
    <w:basedOn w:val="ODOTSpecs"/>
    <w:qFormat/>
    <w:rsid w:val="000F0305"/>
    <w:pPr>
      <w:ind w:firstLine="216"/>
    </w:pPr>
  </w:style>
  <w:style w:type="character" w:customStyle="1" w:styleId="HeaderChar">
    <w:name w:val="Header Char"/>
    <w:link w:val="Header"/>
    <w:rsid w:val="00320B9E"/>
    <w:rPr>
      <w:sz w:val="24"/>
      <w:szCs w:val="24"/>
    </w:rPr>
  </w:style>
  <w:style w:type="character" w:customStyle="1" w:styleId="CommentTextChar">
    <w:name w:val="Comment Text Char"/>
    <w:link w:val="CommentText"/>
    <w:uiPriority w:val="99"/>
    <w:rsid w:val="009B3F8F"/>
    <w:rPr>
      <w:sz w:val="24"/>
      <w:szCs w:val="24"/>
    </w:rPr>
  </w:style>
  <w:style w:type="paragraph" w:styleId="EndnoteText">
    <w:name w:val="endnote text"/>
    <w:basedOn w:val="Normal"/>
    <w:link w:val="EndnoteTextChar"/>
    <w:uiPriority w:val="99"/>
    <w:semiHidden/>
    <w:unhideWhenUsed/>
    <w:rsid w:val="003F6B2B"/>
    <w:rPr>
      <w:sz w:val="20"/>
      <w:szCs w:val="20"/>
    </w:rPr>
  </w:style>
  <w:style w:type="character" w:customStyle="1" w:styleId="EndnoteTextChar">
    <w:name w:val="Endnote Text Char"/>
    <w:basedOn w:val="DefaultParagraphFont"/>
    <w:link w:val="EndnoteText"/>
    <w:uiPriority w:val="99"/>
    <w:semiHidden/>
    <w:rsid w:val="003F6B2B"/>
  </w:style>
  <w:style w:type="character" w:styleId="EndnoteReference">
    <w:name w:val="endnote reference"/>
    <w:basedOn w:val="DefaultParagraphFont"/>
    <w:uiPriority w:val="99"/>
    <w:semiHidden/>
    <w:unhideWhenUsed/>
    <w:rsid w:val="003F6B2B"/>
    <w:rPr>
      <w:vertAlign w:val="superscript"/>
    </w:rPr>
  </w:style>
  <w:style w:type="paragraph" w:styleId="FootnoteText">
    <w:name w:val="footnote text"/>
    <w:basedOn w:val="Normal"/>
    <w:link w:val="FootnoteTextChar"/>
    <w:uiPriority w:val="99"/>
    <w:semiHidden/>
    <w:unhideWhenUsed/>
    <w:rsid w:val="00653642"/>
    <w:rPr>
      <w:sz w:val="20"/>
      <w:szCs w:val="20"/>
    </w:rPr>
  </w:style>
  <w:style w:type="character" w:customStyle="1" w:styleId="FootnoteTextChar">
    <w:name w:val="Footnote Text Char"/>
    <w:basedOn w:val="DefaultParagraphFont"/>
    <w:link w:val="FootnoteText"/>
    <w:uiPriority w:val="99"/>
    <w:semiHidden/>
    <w:rsid w:val="00653642"/>
  </w:style>
  <w:style w:type="character" w:styleId="FootnoteReference">
    <w:name w:val="footnote reference"/>
    <w:basedOn w:val="DefaultParagraphFont"/>
    <w:uiPriority w:val="99"/>
    <w:semiHidden/>
    <w:unhideWhenUsed/>
    <w:rsid w:val="00653642"/>
    <w:rPr>
      <w:vertAlign w:val="superscript"/>
    </w:rPr>
  </w:style>
  <w:style w:type="paragraph" w:styleId="ListParagraph">
    <w:name w:val="List Paragraph"/>
    <w:basedOn w:val="Normal"/>
    <w:uiPriority w:val="1"/>
    <w:qFormat/>
    <w:rsid w:val="006478CC"/>
    <w:pPr>
      <w:widowControl w:val="0"/>
      <w:autoSpaceDE w:val="0"/>
      <w:autoSpaceDN w:val="0"/>
      <w:spacing w:before="191"/>
      <w:ind w:left="100"/>
      <w:jc w:val="both"/>
    </w:pPr>
    <w:rPr>
      <w:sz w:val="22"/>
      <w:szCs w:val="22"/>
    </w:rPr>
  </w:style>
  <w:style w:type="paragraph" w:styleId="Title">
    <w:name w:val="Title"/>
    <w:aliases w:val="Table"/>
    <w:basedOn w:val="Normal"/>
    <w:next w:val="Normal"/>
    <w:link w:val="TitleChar"/>
    <w:uiPriority w:val="10"/>
    <w:qFormat/>
    <w:rsid w:val="006478CC"/>
    <w:pPr>
      <w:jc w:val="center"/>
    </w:pPr>
    <w:rPr>
      <w:rFonts w:ascii="Trebuchet MS" w:eastAsiaTheme="minorHAnsi" w:hAnsi="Trebuchet MS"/>
    </w:rPr>
  </w:style>
  <w:style w:type="character" w:customStyle="1" w:styleId="TitleChar">
    <w:name w:val="Title Char"/>
    <w:aliases w:val="Table Char"/>
    <w:basedOn w:val="DefaultParagraphFont"/>
    <w:link w:val="Title"/>
    <w:uiPriority w:val="10"/>
    <w:rsid w:val="006478CC"/>
    <w:rPr>
      <w:rFonts w:ascii="Trebuchet MS" w:eastAsiaTheme="minorHAnsi"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8353">
      <w:bodyDiv w:val="1"/>
      <w:marLeft w:val="0"/>
      <w:marRight w:val="0"/>
      <w:marTop w:val="0"/>
      <w:marBottom w:val="0"/>
      <w:divBdr>
        <w:top w:val="none" w:sz="0" w:space="0" w:color="auto"/>
        <w:left w:val="none" w:sz="0" w:space="0" w:color="auto"/>
        <w:bottom w:val="none" w:sz="0" w:space="0" w:color="auto"/>
        <w:right w:val="none" w:sz="0" w:space="0" w:color="auto"/>
      </w:divBdr>
    </w:div>
    <w:div w:id="615909232">
      <w:bodyDiv w:val="1"/>
      <w:marLeft w:val="0"/>
      <w:marRight w:val="0"/>
      <w:marTop w:val="0"/>
      <w:marBottom w:val="0"/>
      <w:divBdr>
        <w:top w:val="none" w:sz="0" w:space="0" w:color="auto"/>
        <w:left w:val="none" w:sz="0" w:space="0" w:color="auto"/>
        <w:bottom w:val="none" w:sz="0" w:space="0" w:color="auto"/>
        <w:right w:val="none" w:sz="0" w:space="0" w:color="auto"/>
      </w:divBdr>
    </w:div>
    <w:div w:id="16066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D1CD3-D9F0-47B7-BF8F-D4B2292ABB58}">
  <ds:schemaRefs>
    <ds:schemaRef ds:uri="http://schemas.openxmlformats.org/officeDocument/2006/bibliography"/>
  </ds:schemaRefs>
</ds:datastoreItem>
</file>

<file path=customXml/itemProps2.xml><?xml version="1.0" encoding="utf-8"?>
<ds:datastoreItem xmlns:ds="http://schemas.openxmlformats.org/officeDocument/2006/customXml" ds:itemID="{3FE0F9CC-FE54-472E-A226-F311191FF160}">
  <ds:schemaRefs>
    <ds:schemaRef ds:uri="http://schemas.openxmlformats.org/officeDocument/2006/bibliography"/>
  </ds:schemaRefs>
</ds:datastoreItem>
</file>

<file path=customXml/itemProps3.xml><?xml version="1.0" encoding="utf-8"?>
<ds:datastoreItem xmlns:ds="http://schemas.openxmlformats.org/officeDocument/2006/customXml" ds:itemID="{9D7DAA9A-CDE7-427C-87D1-16743515EABB}">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2048</Words>
  <Characters>12620</Characters>
  <Application>Microsoft Office Word</Application>
  <DocSecurity>0</DocSecurity>
  <Lines>105</Lines>
  <Paragraphs>29</Paragraphs>
  <ScaleCrop>false</ScaleCrop>
  <Company>Ohio Department of Transportation</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ODOT</dc:creator>
  <cp:keywords/>
  <cp:lastModifiedBy>Gucker, Hans</cp:lastModifiedBy>
  <cp:revision>3</cp:revision>
  <cp:lastPrinted>2025-07-17T00:54:00Z</cp:lastPrinted>
  <dcterms:created xsi:type="dcterms:W3CDTF">2025-12-17T14:48:00Z</dcterms:created>
  <dcterms:modified xsi:type="dcterms:W3CDTF">2025-12-17T14:49:00Z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